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10"/>
        <w:rPr>
          <w:rFonts w:hint="eastAsia" w:ascii="宋体" w:hAnsi="宋体" w:eastAsia="宋体" w:cs="宋体"/>
          <w:sz w:val="25"/>
        </w:rPr>
      </w:pPr>
    </w:p>
    <w:p>
      <w:pPr>
        <w:spacing w:before="6"/>
        <w:ind w:left="3714" w:right="3715" w:firstLine="0"/>
        <w:jc w:val="center"/>
        <w:rPr>
          <w:rFonts w:hint="eastAsia" w:ascii="宋体" w:hAnsi="宋体" w:eastAsia="宋体" w:cs="宋体"/>
          <w:b/>
          <w:sz w:val="36"/>
        </w:rPr>
      </w:pPr>
      <w:bookmarkStart w:id="0" w:name="公司内部沟通检查表"/>
      <w:bookmarkEnd w:id="0"/>
      <w:r>
        <w:rPr>
          <w:rFonts w:hint="eastAsia" w:ascii="宋体" w:hAnsi="宋体" w:eastAsia="宋体" w:cs="宋体"/>
          <w:b/>
          <w:sz w:val="36"/>
        </w:rPr>
        <w:t>公司内部沟通检查表</w:t>
      </w:r>
    </w:p>
    <w:p>
      <w:pPr>
        <w:pStyle w:val="2"/>
        <w:spacing w:before="11"/>
        <w:rPr>
          <w:rFonts w:hint="eastAsia" w:ascii="宋体" w:hAnsi="宋体" w:eastAsia="宋体" w:cs="宋体"/>
          <w:b/>
          <w:sz w:val="68"/>
        </w:rPr>
      </w:pPr>
      <w:bookmarkStart w:id="1" w:name="_GoBack"/>
      <w:bookmarkEnd w:id="1"/>
    </w:p>
    <w:p>
      <w:pPr>
        <w:pStyle w:val="6"/>
        <w:numPr>
          <w:ilvl w:val="0"/>
          <w:numId w:val="1"/>
        </w:numPr>
        <w:tabs>
          <w:tab w:val="left" w:pos="1328"/>
        </w:tabs>
        <w:spacing w:before="0" w:after="0" w:line="240" w:lineRule="auto"/>
        <w:ind w:left="1327" w:right="0" w:hanging="128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2"/>
          <w:sz w:val="21"/>
        </w:rPr>
        <w:t xml:space="preserve">沟通的基本态度 第 </w:t>
      </w:r>
      <w:r>
        <w:rPr>
          <w:rFonts w:hint="eastAsia" w:ascii="宋体" w:hAnsi="宋体" w:eastAsia="宋体" w:cs="宋体"/>
          <w:sz w:val="21"/>
        </w:rPr>
        <w:t>1</w:t>
      </w:r>
      <w:r>
        <w:rPr>
          <w:rFonts w:hint="eastAsia" w:ascii="宋体" w:hAnsi="宋体" w:eastAsia="宋体" w:cs="宋体"/>
          <w:spacing w:val="3"/>
          <w:sz w:val="21"/>
        </w:rPr>
        <w:t xml:space="preserve"> 次评价 第 </w:t>
      </w:r>
      <w:r>
        <w:rPr>
          <w:rFonts w:hint="eastAsia" w:ascii="宋体" w:hAnsi="宋体" w:eastAsia="宋体" w:cs="宋体"/>
          <w:sz w:val="21"/>
        </w:rPr>
        <w:t>2</w:t>
      </w:r>
      <w:r>
        <w:rPr>
          <w:rFonts w:hint="eastAsia" w:ascii="宋体" w:hAnsi="宋体" w:eastAsia="宋体" w:cs="宋体"/>
          <w:spacing w:val="-3"/>
          <w:sz w:val="21"/>
        </w:rPr>
        <w:t xml:space="preserve"> 次评价</w:t>
      </w:r>
    </w:p>
    <w:p>
      <w:pPr>
        <w:pStyle w:val="2"/>
        <w:spacing w:before="14" w:after="1"/>
        <w:rPr>
          <w:rFonts w:hint="eastAsia" w:ascii="宋体" w:hAnsi="宋体" w:eastAsia="宋体" w:cs="宋体"/>
          <w:sz w:val="22"/>
        </w:rPr>
      </w:pPr>
    </w:p>
    <w:tbl>
      <w:tblPr>
        <w:tblStyle w:val="3"/>
        <w:tblW w:w="0" w:type="auto"/>
        <w:tblInd w:w="144" w:type="dxa"/>
        <w:tblBorders>
          <w:top w:val="double" w:color="76746C" w:sz="2" w:space="0"/>
          <w:left w:val="double" w:color="76746C" w:sz="2" w:space="0"/>
          <w:bottom w:val="double" w:color="76746C" w:sz="2" w:space="0"/>
          <w:right w:val="double" w:color="76746C" w:sz="2" w:space="0"/>
          <w:insideH w:val="double" w:color="76746C" w:sz="2" w:space="0"/>
          <w:insideV w:val="double" w:color="76746C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2"/>
        <w:gridCol w:w="1708"/>
        <w:gridCol w:w="1495"/>
      </w:tblGrid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262" w:type="dxa"/>
          </w:tcPr>
          <w:p>
            <w:pPr>
              <w:pStyle w:val="7"/>
              <w:spacing w:before="23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□1.很乐意帮助同事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262" w:type="dxa"/>
          </w:tcPr>
          <w:p>
            <w:pPr>
              <w:pStyle w:val="7"/>
              <w:spacing w:before="232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□2.对于同事的婚丧喜庆之事都由衷地致意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262" w:type="dxa"/>
          </w:tcPr>
          <w:p>
            <w:pPr>
              <w:pStyle w:val="7"/>
              <w:spacing w:before="23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□3.对同事很和蔼可亲，但不是四面讨好他人的人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262" w:type="dxa"/>
          </w:tcPr>
          <w:p>
            <w:pPr>
              <w:pStyle w:val="7"/>
              <w:spacing w:before="232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□4.帮助别人，不依赖他人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262" w:type="dxa"/>
          </w:tcPr>
          <w:p>
            <w:pPr>
              <w:pStyle w:val="7"/>
              <w:spacing w:before="23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□5.不随便骂人、不任意生气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262" w:type="dxa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243"/>
              </w:tabs>
              <w:spacing w:before="232" w:after="0" w:line="240" w:lineRule="auto"/>
              <w:ind w:left="242" w:right="0" w:hanging="128"/>
              <w:jc w:val="lef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沟通的规则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262" w:type="dxa"/>
          </w:tcPr>
          <w:p>
            <w:pPr>
              <w:pStyle w:val="7"/>
              <w:spacing w:before="23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□1.努力成为一位好的听众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262" w:type="dxa"/>
          </w:tcPr>
          <w:p>
            <w:pPr>
              <w:pStyle w:val="7"/>
              <w:spacing w:before="232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□2.聆听别人的牢骚、不平、抱怨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262" w:type="dxa"/>
          </w:tcPr>
          <w:p>
            <w:pPr>
              <w:pStyle w:val="7"/>
              <w:spacing w:before="23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□3.不说别人的坏话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262" w:type="dxa"/>
            <w:tcBorders>
              <w:bottom w:val="double" w:color="EBE9D7" w:sz="2" w:space="0"/>
            </w:tcBorders>
          </w:tcPr>
          <w:p>
            <w:pPr>
              <w:pStyle w:val="7"/>
              <w:spacing w:before="232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□4.不听别人的坏话</w:t>
            </w:r>
          </w:p>
        </w:tc>
        <w:tc>
          <w:tcPr>
            <w:tcW w:w="1708" w:type="dxa"/>
            <w:tcBorders>
              <w:bottom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bottom w:val="double" w:color="EBE9D7" w:sz="2" w:space="0"/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2"/>
        </w:rPr>
        <w:sectPr>
          <w:headerReference r:id="rId3" w:type="default"/>
          <w:footerReference r:id="rId4" w:type="default"/>
          <w:type w:val="continuous"/>
          <w:pgSz w:w="11910" w:h="16840"/>
          <w:pgMar w:top="1800" w:right="600" w:bottom="2220" w:left="600" w:header="871" w:footer="2022" w:gutter="0"/>
        </w:sectPr>
      </w:pPr>
    </w:p>
    <w:p>
      <w:pPr>
        <w:pStyle w:val="2"/>
        <w:spacing w:before="10"/>
        <w:rPr>
          <w:rFonts w:hint="eastAsia" w:ascii="宋体" w:hAnsi="宋体" w:eastAsia="宋体" w:cs="宋体"/>
          <w:sz w:val="26"/>
        </w:rPr>
      </w:pPr>
    </w:p>
    <w:tbl>
      <w:tblPr>
        <w:tblStyle w:val="3"/>
        <w:tblW w:w="0" w:type="auto"/>
        <w:tblInd w:w="144" w:type="dxa"/>
        <w:tblBorders>
          <w:top w:val="double" w:color="76746C" w:sz="2" w:space="0"/>
          <w:left w:val="double" w:color="76746C" w:sz="2" w:space="0"/>
          <w:bottom w:val="double" w:color="76746C" w:sz="2" w:space="0"/>
          <w:right w:val="double" w:color="76746C" w:sz="2" w:space="0"/>
          <w:insideH w:val="double" w:color="76746C" w:sz="2" w:space="0"/>
          <w:insideV w:val="double" w:color="76746C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2"/>
        <w:gridCol w:w="1708"/>
        <w:gridCol w:w="1495"/>
      </w:tblGrid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262" w:type="dxa"/>
          </w:tcPr>
          <w:p>
            <w:pPr>
              <w:pStyle w:val="7"/>
              <w:spacing w:before="224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□5.不传播谣言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262" w:type="dxa"/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243"/>
              </w:tabs>
              <w:spacing w:before="231" w:after="0" w:line="240" w:lineRule="auto"/>
              <w:ind w:left="242" w:right="0" w:hanging="128"/>
              <w:jc w:val="lef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虚心、谦虚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262" w:type="dxa"/>
          </w:tcPr>
          <w:p>
            <w:pPr>
              <w:pStyle w:val="7"/>
              <w:spacing w:before="232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□1.注意避免伤到别人的自尊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262" w:type="dxa"/>
          </w:tcPr>
          <w:p>
            <w:pPr>
              <w:pStyle w:val="7"/>
              <w:spacing w:before="23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□2.聆听别人的劝告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7262" w:type="dxa"/>
          </w:tcPr>
          <w:p>
            <w:pPr>
              <w:pStyle w:val="7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232" w:after="0" w:line="240" w:lineRule="auto"/>
              <w:ind w:left="835" w:right="0" w:hanging="361"/>
              <w:jc w:val="lef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3.谦虚地接受别人的好意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262" w:type="dxa"/>
          </w:tcPr>
          <w:p>
            <w:pPr>
              <w:pStyle w:val="7"/>
              <w:spacing w:before="23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□4.不得意忘形，即使是奉承你也不会生气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262" w:type="dxa"/>
          </w:tcPr>
          <w:p>
            <w:pPr>
              <w:pStyle w:val="7"/>
              <w:spacing w:before="230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□5.不作无聊，过分的谎言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262" w:type="dxa"/>
          </w:tcPr>
          <w:p>
            <w:pPr>
              <w:pStyle w:val="7"/>
              <w:numPr>
                <w:ilvl w:val="0"/>
                <w:numId w:val="5"/>
              </w:numPr>
              <w:tabs>
                <w:tab w:val="left" w:pos="243"/>
              </w:tabs>
              <w:spacing w:before="231" w:after="0" w:line="240" w:lineRule="auto"/>
              <w:ind w:left="242" w:right="0" w:hanging="128"/>
              <w:jc w:val="lef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参加公司活动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262" w:type="dxa"/>
          </w:tcPr>
          <w:p>
            <w:pPr>
              <w:pStyle w:val="7"/>
              <w:spacing w:before="230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□1.一定参加公司的活动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262" w:type="dxa"/>
          </w:tcPr>
          <w:p>
            <w:pPr>
              <w:pStyle w:val="7"/>
              <w:spacing w:before="23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□2.主动加入公司活动的干部、策划小组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262" w:type="dxa"/>
          </w:tcPr>
          <w:p>
            <w:pPr>
              <w:pStyle w:val="7"/>
              <w:spacing w:before="230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□3.思考、并提出公司活动的构想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262" w:type="dxa"/>
          </w:tcPr>
          <w:p>
            <w:pPr>
              <w:pStyle w:val="7"/>
              <w:spacing w:before="23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□4.劝诱说服不想参加公司活动的人改变主意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262" w:type="dxa"/>
            <w:tcBorders>
              <w:bottom w:val="double" w:color="EBE9D7" w:sz="2" w:space="0"/>
            </w:tcBorders>
          </w:tcPr>
          <w:p>
            <w:pPr>
              <w:pStyle w:val="7"/>
              <w:spacing w:before="230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□5.由衷地期待公司各项活动</w:t>
            </w:r>
          </w:p>
        </w:tc>
        <w:tc>
          <w:tcPr>
            <w:tcW w:w="1708" w:type="dxa"/>
            <w:tcBorders>
              <w:bottom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95" w:type="dxa"/>
            <w:tcBorders>
              <w:bottom w:val="double" w:color="EBE9D7" w:sz="2" w:space="0"/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0"/>
        </w:rPr>
        <w:sectPr>
          <w:pgSz w:w="11910" w:h="16840"/>
          <w:pgMar w:top="1800" w:right="600" w:bottom="2220" w:left="600" w:header="871" w:footer="2022" w:gutter="0"/>
        </w:sectPr>
      </w:pPr>
    </w:p>
    <w:p>
      <w:pPr>
        <w:pStyle w:val="2"/>
        <w:spacing w:before="10"/>
        <w:rPr>
          <w:rFonts w:hint="eastAsia" w:ascii="宋体" w:hAnsi="宋体" w:eastAsia="宋体" w:cs="宋体"/>
          <w:sz w:val="26"/>
        </w:rPr>
      </w:pPr>
    </w:p>
    <w:tbl>
      <w:tblPr>
        <w:tblStyle w:val="3"/>
        <w:tblW w:w="0" w:type="auto"/>
        <w:tblInd w:w="144" w:type="dxa"/>
        <w:tblBorders>
          <w:top w:val="double" w:color="76746C" w:sz="2" w:space="0"/>
          <w:left w:val="double" w:color="76746C" w:sz="2" w:space="0"/>
          <w:bottom w:val="double" w:color="76746C" w:sz="2" w:space="0"/>
          <w:right w:val="double" w:color="76746C" w:sz="2" w:space="0"/>
          <w:insideH w:val="double" w:color="76746C" w:sz="2" w:space="0"/>
          <w:insideV w:val="double" w:color="76746C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2"/>
        <w:gridCol w:w="1708"/>
        <w:gridCol w:w="1495"/>
      </w:tblGrid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</w:tblPrEx>
        <w:trPr>
          <w:trHeight w:val="841" w:hRule="atLeast"/>
        </w:trPr>
        <w:tc>
          <w:tcPr>
            <w:tcW w:w="7262" w:type="dxa"/>
          </w:tcPr>
          <w:p>
            <w:pPr>
              <w:pStyle w:val="7"/>
              <w:numPr>
                <w:ilvl w:val="0"/>
                <w:numId w:val="6"/>
              </w:numPr>
              <w:tabs>
                <w:tab w:val="left" w:pos="243"/>
              </w:tabs>
              <w:spacing w:before="224" w:after="0" w:line="240" w:lineRule="auto"/>
              <w:ind w:left="242" w:right="0" w:hanging="128"/>
              <w:jc w:val="lef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对个性不合的人、意见不合的人的应对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262" w:type="dxa"/>
          </w:tcPr>
          <w:p>
            <w:pPr>
              <w:pStyle w:val="7"/>
              <w:spacing w:before="23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□1.应努力与个性不合的协调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262" w:type="dxa"/>
          </w:tcPr>
          <w:p>
            <w:pPr>
              <w:pStyle w:val="7"/>
              <w:spacing w:before="232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□2.对于意见不合的人，应努力找出共通点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262" w:type="dxa"/>
          </w:tcPr>
          <w:p>
            <w:pPr>
              <w:pStyle w:val="7"/>
              <w:spacing w:before="23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□3.对于缺点很多的人，应找出其优点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262" w:type="dxa"/>
          </w:tcPr>
          <w:p>
            <w:pPr>
              <w:pStyle w:val="7"/>
              <w:spacing w:before="232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□4.对于反对意见的人，要肯定其立场</w:t>
            </w:r>
          </w:p>
        </w:tc>
        <w:tc>
          <w:tcPr>
            <w:tcW w:w="1708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262" w:type="dxa"/>
            <w:tcBorders>
              <w:bottom w:val="double" w:color="EBE9D7" w:sz="2" w:space="0"/>
            </w:tcBorders>
          </w:tcPr>
          <w:p>
            <w:pPr>
              <w:pStyle w:val="7"/>
              <w:spacing w:before="23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□5.不分宗教、政治派系</w:t>
            </w:r>
          </w:p>
        </w:tc>
        <w:tc>
          <w:tcPr>
            <w:tcW w:w="1708" w:type="dxa"/>
            <w:tcBorders>
              <w:bottom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95" w:type="dxa"/>
            <w:tcBorders>
              <w:bottom w:val="double" w:color="EBE9D7" w:sz="2" w:space="0"/>
              <w:right w:val="double" w:color="EBE9D7" w:sz="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10" w:h="16840"/>
      <w:pgMar w:top="1800" w:right="600" w:bottom="2220" w:left="600" w:header="871" w:footer="202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○"/>
      <w:lvlJc w:val="left"/>
      <w:pPr>
        <w:ind w:left="242" w:hanging="128"/>
      </w:pPr>
      <w:rPr>
        <w:rFonts w:hint="default" w:ascii="微软雅黑" w:hAnsi="微软雅黑" w:eastAsia="微软雅黑" w:cs="微软雅黑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37" w:hanging="12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35" w:hanging="12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33" w:hanging="12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30" w:hanging="12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728" w:hanging="12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426" w:hanging="12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123" w:hanging="12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821" w:hanging="128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77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15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53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90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28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66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03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41" w:hanging="360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○"/>
      <w:lvlJc w:val="left"/>
      <w:pPr>
        <w:ind w:left="242" w:hanging="128"/>
      </w:pPr>
      <w:rPr>
        <w:rFonts w:hint="default" w:ascii="微软雅黑" w:hAnsi="微软雅黑" w:eastAsia="微软雅黑" w:cs="微软雅黑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37" w:hanging="12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35" w:hanging="12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33" w:hanging="12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30" w:hanging="12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728" w:hanging="12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426" w:hanging="12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123" w:hanging="12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821" w:hanging="128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○"/>
      <w:lvlJc w:val="left"/>
      <w:pPr>
        <w:ind w:left="1327" w:hanging="128"/>
      </w:pPr>
      <w:rPr>
        <w:rFonts w:hint="default" w:ascii="微软雅黑" w:hAnsi="微软雅黑" w:eastAsia="微软雅黑" w:cs="微软雅黑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58" w:hanging="12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197" w:hanging="12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35" w:hanging="12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074" w:hanging="12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13" w:hanging="12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951" w:hanging="12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890" w:hanging="12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828" w:hanging="128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○"/>
      <w:lvlJc w:val="left"/>
      <w:pPr>
        <w:ind w:left="242" w:hanging="128"/>
      </w:pPr>
      <w:rPr>
        <w:rFonts w:hint="default" w:ascii="微软雅黑" w:hAnsi="微软雅黑" w:eastAsia="微软雅黑" w:cs="微软雅黑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37" w:hanging="12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35" w:hanging="12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33" w:hanging="12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30" w:hanging="12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728" w:hanging="12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426" w:hanging="12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123" w:hanging="12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821" w:hanging="128"/>
      </w:pPr>
      <w:rPr>
        <w:rFonts w:hint="default"/>
        <w:lang w:val="zh-CN" w:eastAsia="zh-CN" w:bidi="zh-CN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○"/>
      <w:lvlJc w:val="left"/>
      <w:pPr>
        <w:ind w:left="242" w:hanging="128"/>
      </w:pPr>
      <w:rPr>
        <w:rFonts w:hint="default" w:ascii="微软雅黑" w:hAnsi="微软雅黑" w:eastAsia="微软雅黑" w:cs="微软雅黑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37" w:hanging="12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35" w:hanging="12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33" w:hanging="12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30" w:hanging="12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728" w:hanging="12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426" w:hanging="12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123" w:hanging="12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821" w:hanging="128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77D85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327" w:hanging="128"/>
    </w:pPr>
    <w:rPr>
      <w:rFonts w:ascii="微软雅黑" w:hAnsi="微软雅黑" w:eastAsia="微软雅黑" w:cs="微软雅黑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2019-11-03T09:38:00Z</dcterms:created>
  <dc:creator>ruthout</dc:creator>
  <cp:lastModifiedBy>^O^珏</cp:lastModifiedBy>
  <dcterms:modified xsi:type="dcterms:W3CDTF">2019-11-03T09:47:56Z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2019-11-03T00:00:00Z</vt:filetime>
  </property>
  <property fmtid="{D5CDD505-2E9C-101B-9397-08002B2CF9AE}" pid="5" name="KSOProductBuildVer">
    <vt:lpwstr>2052-11.1.0.9175</vt:lpwstr>
  </property>
</Properties>
</file>