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30"/>
      <w:r>
        <w:rPr>
          <w:rFonts w:hint="eastAsia" w:ascii="宋体" w:hAnsi="宋体" w:eastAsia="宋体" w:cs="宋体"/>
          <w:sz w:val="24"/>
          <w:szCs w:val="24"/>
        </w:rPr>
        <w:t>各项绩效评价分数所占的权重表</w:t>
      </w:r>
      <w:bookmarkEnd w:id="0"/>
    </w:p>
    <w:p>
      <w:pPr>
        <w:pStyle w:val="3"/>
        <w:spacing w:after="120" w:line="40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对于从事不同性质工作的员工来说，各项绩效评价分数在总分中所占的权重有所不同。具体如下表所示：</w:t>
      </w:r>
    </w:p>
    <w:tbl>
      <w:tblPr>
        <w:tblStyle w:val="6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260"/>
        <w:gridCol w:w="1980"/>
        <w:gridCol w:w="1686"/>
        <w:gridCol w:w="1833"/>
        <w:gridCol w:w="1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1907" w:type="dxa"/>
            <w:gridSpan w:val="2"/>
            <w:vMerge w:val="restart"/>
          </w:tcPr>
          <w:p>
            <w:pPr>
              <w:spacing w:before="4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部门或职位类型</w:t>
            </w:r>
          </w:p>
        </w:tc>
        <w:tc>
          <w:tcPr>
            <w:tcW w:w="7333" w:type="dxa"/>
            <w:gridSpan w:val="4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各项评价分数所占权重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1907" w:type="dxa"/>
            <w:gridSpan w:val="2"/>
            <w:vMerge w:val="continue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8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自我评价与上级评价</w:t>
            </w:r>
          </w:p>
        </w:tc>
        <w:tc>
          <w:tcPr>
            <w:tcW w:w="1686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下属评价</w:t>
            </w:r>
          </w:p>
        </w:tc>
        <w:tc>
          <w:tcPr>
            <w:tcW w:w="1833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同事评价</w:t>
            </w:r>
          </w:p>
        </w:tc>
        <w:tc>
          <w:tcPr>
            <w:tcW w:w="1834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客户评价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1907" w:type="dxa"/>
            <w:gridSpan w:val="2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管理人员</w:t>
            </w:r>
          </w:p>
        </w:tc>
        <w:tc>
          <w:tcPr>
            <w:tcW w:w="198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70%</w:t>
            </w:r>
          </w:p>
        </w:tc>
        <w:tc>
          <w:tcPr>
            <w:tcW w:w="1686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30%</w:t>
            </w:r>
          </w:p>
        </w:tc>
        <w:tc>
          <w:tcPr>
            <w:tcW w:w="1833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/</w:t>
            </w:r>
          </w:p>
        </w:tc>
        <w:tc>
          <w:tcPr>
            <w:tcW w:w="1834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647" w:type="dxa"/>
            <w:vMerge w:val="restart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非</w:t>
            </w:r>
          </w:p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</w:t>
            </w:r>
          </w:p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</w:t>
            </w:r>
          </w:p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</w:t>
            </w:r>
          </w:p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员</w:t>
            </w:r>
          </w:p>
        </w:tc>
        <w:tc>
          <w:tcPr>
            <w:tcW w:w="126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销售部</w:t>
            </w:r>
          </w:p>
        </w:tc>
        <w:tc>
          <w:tcPr>
            <w:tcW w:w="198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70%</w:t>
            </w:r>
          </w:p>
        </w:tc>
        <w:tc>
          <w:tcPr>
            <w:tcW w:w="1686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/</w:t>
            </w:r>
          </w:p>
        </w:tc>
        <w:tc>
          <w:tcPr>
            <w:tcW w:w="1833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20%</w:t>
            </w:r>
          </w:p>
        </w:tc>
        <w:tc>
          <w:tcPr>
            <w:tcW w:w="1834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647" w:type="dxa"/>
            <w:vMerge w:val="continue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客户服务部</w:t>
            </w:r>
          </w:p>
        </w:tc>
        <w:tc>
          <w:tcPr>
            <w:tcW w:w="1980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50%</w:t>
            </w:r>
          </w:p>
        </w:tc>
        <w:tc>
          <w:tcPr>
            <w:tcW w:w="1686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/</w:t>
            </w:r>
          </w:p>
        </w:tc>
        <w:tc>
          <w:tcPr>
            <w:tcW w:w="1833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20%</w:t>
            </w:r>
          </w:p>
        </w:tc>
        <w:tc>
          <w:tcPr>
            <w:tcW w:w="1834" w:type="dxa"/>
          </w:tcPr>
          <w:p>
            <w:pPr>
              <w:spacing w:before="200" w:after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" w:hRule="atLeast"/>
          <w:jc w:val="center"/>
        </w:trPr>
        <w:tc>
          <w:tcPr>
            <w:tcW w:w="647" w:type="dxa"/>
            <w:vMerge w:val="continue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市场部、技术部、人力资源部、财务部、行政部、MIS部</w:t>
            </w:r>
          </w:p>
        </w:tc>
        <w:tc>
          <w:tcPr>
            <w:tcW w:w="1980" w:type="dxa"/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80%</w:t>
            </w:r>
          </w:p>
        </w:tc>
        <w:tc>
          <w:tcPr>
            <w:tcW w:w="1686" w:type="dxa"/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/</w:t>
            </w:r>
          </w:p>
        </w:tc>
        <w:tc>
          <w:tcPr>
            <w:tcW w:w="1833" w:type="dxa"/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20%</w:t>
            </w:r>
          </w:p>
        </w:tc>
        <w:tc>
          <w:tcPr>
            <w:tcW w:w="1834" w:type="dxa"/>
          </w:tcPr>
          <w:p>
            <w:pPr>
              <w:spacing w:before="6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/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9C4"/>
    <w:rsid w:val="004B3247"/>
    <w:rsid w:val="00B15B2B"/>
    <w:rsid w:val="00BE09C4"/>
    <w:rsid w:val="00CF15EC"/>
    <w:rsid w:val="00F73B28"/>
    <w:rsid w:val="027E5B68"/>
    <w:rsid w:val="0C0E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188</Characters>
  <Lines>1</Lines>
  <Paragraphs>1</Paragraphs>
  <TotalTime>0</TotalTime>
  <ScaleCrop>false</ScaleCrop>
  <LinksUpToDate>false</LinksUpToDate>
  <CharactersWithSpaces>219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2019-12-23T06:28:06Z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