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宋体" w:hAnsi="宋体" w:eastAsia="宋体" w:cs="宋体"/>
          <w:sz w:val="24"/>
          <w:szCs w:val="24"/>
        </w:rPr>
      </w:pPr>
      <w:bookmarkStart w:id="0" w:name="_Toc53043947"/>
      <w:r>
        <w:rPr>
          <w:rFonts w:hint="eastAsia" w:ascii="宋体" w:hAnsi="宋体" w:eastAsia="宋体" w:cs="宋体"/>
          <w:sz w:val="24"/>
          <w:szCs w:val="24"/>
        </w:rPr>
        <w:t>绩效奖金施行办法(示例)</w:t>
      </w:r>
      <w:bookmarkEnd w:id="0"/>
    </w:p>
    <w:p>
      <w:pPr>
        <w:pStyle w:val="6"/>
        <w:spacing w:line="360" w:lineRule="exact"/>
        <w:ind w:firstLine="420"/>
        <w:rPr>
          <w:rFonts w:hint="eastAsia" w:ascii="宋体" w:hAnsi="宋体" w:eastAsia="宋体" w:cs="宋体"/>
          <w:szCs w:val="24"/>
        </w:rPr>
      </w:pPr>
      <w:r>
        <w:rPr>
          <w:rFonts w:hint="eastAsia" w:ascii="宋体" w:hAnsi="宋体" w:eastAsia="宋体" w:cs="宋体"/>
          <w:szCs w:val="24"/>
        </w:rPr>
        <w:t>(一)本公司实行绩效奖金的目的在于鼓舞员工的工作热情，激发员工士气，奖励工作绩效卓越者，绩效奖金每月核定一次，定期发给。</w:t>
      </w:r>
    </w:p>
    <w:p>
      <w:pPr>
        <w:pStyle w:val="6"/>
        <w:spacing w:line="360" w:lineRule="exact"/>
        <w:ind w:firstLine="420"/>
        <w:rPr>
          <w:rFonts w:hint="eastAsia" w:ascii="宋体" w:hAnsi="宋体" w:eastAsia="宋体" w:cs="宋体"/>
          <w:szCs w:val="24"/>
        </w:rPr>
      </w:pPr>
      <w:r>
        <w:rPr>
          <w:rFonts w:hint="eastAsia" w:ascii="宋体" w:hAnsi="宋体" w:eastAsia="宋体" w:cs="宋体"/>
          <w:szCs w:val="24"/>
        </w:rPr>
        <w:t>(二)本公司的绩效奖金包括两个项目。第一项是生产绩效奖金，发给对象包括现场主管人员、现场助理及模具的制作保养人员。第二项为工作绩效奖金，发给对象包括一般办公室职员及不属于直接参加生产作业的职员类作业人员。任何从业人员只能领取其中一种奖金，不得同时领取两项。</w:t>
      </w:r>
    </w:p>
    <w:p>
      <w:pPr>
        <w:pStyle w:val="6"/>
        <w:spacing w:line="360" w:lineRule="exact"/>
        <w:ind w:firstLine="420"/>
        <w:rPr>
          <w:rFonts w:hint="eastAsia" w:ascii="宋体" w:hAnsi="宋体" w:eastAsia="宋体" w:cs="宋体"/>
          <w:szCs w:val="24"/>
        </w:rPr>
      </w:pPr>
      <w:r>
        <w:rPr>
          <w:rFonts w:hint="eastAsia" w:ascii="宋体" w:hAnsi="宋体" w:eastAsia="宋体" w:cs="宋体"/>
          <w:szCs w:val="24"/>
        </w:rPr>
        <w:t>(三)试用人员，每月有记过以上处分记录的人员以及该月未服务期满的从业人员，一律不予发给绩效奖金。</w:t>
      </w:r>
    </w:p>
    <w:p>
      <w:pPr>
        <w:pStyle w:val="6"/>
        <w:spacing w:line="360" w:lineRule="exact"/>
        <w:ind w:firstLine="420"/>
        <w:rPr>
          <w:rFonts w:hint="eastAsia" w:ascii="宋体" w:hAnsi="宋体" w:eastAsia="宋体" w:cs="宋体"/>
          <w:szCs w:val="24"/>
        </w:rPr>
      </w:pPr>
      <w:r>
        <w:rPr>
          <w:rFonts w:hint="eastAsia" w:ascii="宋体" w:hAnsi="宋体" w:eastAsia="宋体" w:cs="宋体"/>
          <w:szCs w:val="24"/>
        </w:rPr>
        <w:t>(四)生产绩效奖金的计算以该月完工部分的生产金额为基础，首先依下表折算每人基本的奖金金额，再按此奖金基本额及各单位的实际生产绩效计算每人应得的奖金总额。各单位的助理人员、保养人员的奖金金额按其直接主管人员奖金总额的60%计算。</w:t>
      </w:r>
    </w:p>
    <w:p>
      <w:pPr>
        <w:pStyle w:val="6"/>
        <w:tabs>
          <w:tab w:val="clear" w:pos="916"/>
        </w:tabs>
        <w:spacing w:after="120" w:line="360" w:lineRule="exact"/>
        <w:ind w:left="630"/>
        <w:rPr>
          <w:rFonts w:hint="eastAsia" w:ascii="宋体" w:hAnsi="宋体" w:eastAsia="宋体" w:cs="宋体"/>
          <w:szCs w:val="24"/>
        </w:rPr>
      </w:pPr>
      <w:r>
        <w:rPr>
          <w:rFonts w:hint="eastAsia" w:ascii="宋体" w:hAnsi="宋体" w:eastAsia="宋体" w:cs="宋体"/>
          <w:szCs w:val="24"/>
        </w:rPr>
        <w:t>１.每人基本奖金的折算标准：</w:t>
      </w:r>
      <w:bookmarkStart w:id="1" w:name="_GoBack"/>
      <w:bookmarkEnd w:id="1"/>
    </w:p>
    <w:tbl>
      <w:tblPr>
        <w:tblStyle w:val="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4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全厂当月完工产品金额</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每人基本奖金金额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600万元以上（含）</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1500元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500万元（含）～600万元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1200元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400万元（含）～500万元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900元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350万元（含）～400万元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300万元（含）～350万元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250万元（含）～300万元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250万元以下</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0元</w:t>
            </w:r>
          </w:p>
        </w:tc>
      </w:tr>
    </w:tbl>
    <w:p>
      <w:pPr>
        <w:pStyle w:val="6"/>
        <w:spacing w:line="360" w:lineRule="exact"/>
        <w:rPr>
          <w:rFonts w:hint="eastAsia" w:ascii="宋体" w:hAnsi="宋体" w:eastAsia="宋体" w:cs="宋体"/>
          <w:szCs w:val="24"/>
        </w:rPr>
      </w:pPr>
      <w:r>
        <w:rPr>
          <w:rFonts w:hint="eastAsia" w:ascii="宋体" w:hAnsi="宋体" w:eastAsia="宋体" w:cs="宋体"/>
          <w:szCs w:val="24"/>
        </w:rPr>
        <w:t>＊注：当月若无进度延迟的情形可按高一标准计算。</w:t>
      </w:r>
    </w:p>
    <w:p>
      <w:pPr>
        <w:pStyle w:val="6"/>
        <w:spacing w:after="120" w:line="360" w:lineRule="exact"/>
        <w:ind w:left="630"/>
        <w:rPr>
          <w:rFonts w:hint="eastAsia" w:ascii="宋体" w:hAnsi="宋体" w:eastAsia="宋体" w:cs="宋体"/>
          <w:szCs w:val="24"/>
        </w:rPr>
      </w:pPr>
      <w:r>
        <w:rPr>
          <w:rFonts w:hint="eastAsia" w:ascii="宋体" w:hAnsi="宋体" w:eastAsia="宋体" w:cs="宋体"/>
          <w:szCs w:val="24"/>
        </w:rPr>
        <w:t>2.每人实得工资金额的折算标准：</w:t>
      </w:r>
    </w:p>
    <w:tbl>
      <w:tblPr>
        <w:tblStyle w:val="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4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各单位当月生产效率</w:t>
            </w:r>
          </w:p>
        </w:tc>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实际应发奖金金额（基本奖金的倍数）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pStyle w:val="6"/>
              <w:spacing w:before="30" w:after="30" w:line="360" w:lineRule="exact"/>
              <w:jc w:val="center"/>
              <w:rPr>
                <w:rFonts w:hint="eastAsia" w:ascii="宋体" w:hAnsi="宋体" w:eastAsia="宋体" w:cs="宋体"/>
                <w:szCs w:val="24"/>
              </w:rPr>
            </w:pPr>
            <w:r>
              <w:rPr>
                <w:rFonts w:hint="eastAsia" w:ascii="宋体" w:hAnsi="宋体" w:eastAsia="宋体" w:cs="宋体"/>
                <w:szCs w:val="24"/>
              </w:rPr>
              <w:t>130%（含）以上</w:t>
            </w:r>
          </w:p>
        </w:tc>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2.5倍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120%（含）～130%</w:t>
            </w:r>
          </w:p>
        </w:tc>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2.0倍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pStyle w:val="6"/>
              <w:spacing w:before="30" w:after="30" w:line="360" w:lineRule="exact"/>
              <w:jc w:val="center"/>
              <w:rPr>
                <w:rFonts w:hint="eastAsia" w:ascii="宋体" w:hAnsi="宋体" w:eastAsia="宋体" w:cs="宋体"/>
                <w:szCs w:val="24"/>
              </w:rPr>
            </w:pPr>
            <w:r>
              <w:rPr>
                <w:rFonts w:hint="eastAsia" w:ascii="宋体" w:hAnsi="宋体" w:eastAsia="宋体" w:cs="宋体"/>
                <w:szCs w:val="24"/>
              </w:rPr>
              <w:t>105%（含）～120%</w:t>
            </w:r>
          </w:p>
        </w:tc>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1.5倍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pStyle w:val="6"/>
              <w:spacing w:before="30" w:after="30" w:line="360" w:lineRule="exact"/>
              <w:jc w:val="center"/>
              <w:rPr>
                <w:rFonts w:hint="eastAsia" w:ascii="宋体" w:hAnsi="宋体" w:eastAsia="宋体" w:cs="宋体"/>
                <w:szCs w:val="24"/>
              </w:rPr>
            </w:pPr>
            <w:r>
              <w:rPr>
                <w:rFonts w:hint="eastAsia" w:ascii="宋体" w:hAnsi="宋体" w:eastAsia="宋体" w:cs="宋体"/>
                <w:szCs w:val="24"/>
              </w:rPr>
              <w:t>100%（含）～105%</w:t>
            </w:r>
          </w:p>
        </w:tc>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1.2倍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pStyle w:val="6"/>
              <w:spacing w:before="30" w:after="30" w:line="360" w:lineRule="exact"/>
              <w:jc w:val="center"/>
              <w:rPr>
                <w:rFonts w:hint="eastAsia" w:ascii="宋体" w:hAnsi="宋体" w:eastAsia="宋体" w:cs="宋体"/>
                <w:szCs w:val="24"/>
              </w:rPr>
            </w:pPr>
            <w:r>
              <w:rPr>
                <w:rFonts w:hint="eastAsia" w:ascii="宋体" w:hAnsi="宋体" w:eastAsia="宋体" w:cs="宋体"/>
                <w:szCs w:val="24"/>
              </w:rPr>
              <w:t>95%（含）～100%</w:t>
            </w:r>
          </w:p>
        </w:tc>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1.0倍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85%（含）～95%</w:t>
            </w:r>
          </w:p>
        </w:tc>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0.9倍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70%（含）～85%</w:t>
            </w:r>
          </w:p>
        </w:tc>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0.7倍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60%（含）～70%</w:t>
            </w:r>
          </w:p>
        </w:tc>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0.5倍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60%以下</w:t>
            </w:r>
          </w:p>
        </w:tc>
        <w:tc>
          <w:tcPr>
            <w:tcW w:w="4620" w:type="dxa"/>
          </w:tcPr>
          <w:p>
            <w:pPr>
              <w:spacing w:before="30" w:after="30"/>
              <w:jc w:val="center"/>
              <w:rPr>
                <w:rFonts w:hint="eastAsia" w:ascii="宋体" w:hAnsi="宋体" w:eastAsia="宋体" w:cs="宋体"/>
                <w:sz w:val="24"/>
                <w:szCs w:val="24"/>
              </w:rPr>
            </w:pPr>
            <w:r>
              <w:rPr>
                <w:rFonts w:hint="eastAsia" w:ascii="宋体" w:hAnsi="宋体" w:eastAsia="宋体" w:cs="宋体"/>
                <w:sz w:val="24"/>
                <w:szCs w:val="24"/>
              </w:rPr>
              <w:t>0</w:t>
            </w:r>
          </w:p>
        </w:tc>
      </w:tr>
    </w:tbl>
    <w:p>
      <w:pPr>
        <w:pStyle w:val="6"/>
        <w:spacing w:line="360" w:lineRule="exact"/>
        <w:ind w:firstLine="420"/>
        <w:rPr>
          <w:rFonts w:hint="eastAsia" w:ascii="宋体" w:hAnsi="宋体" w:eastAsia="宋体" w:cs="宋体"/>
          <w:szCs w:val="24"/>
        </w:rPr>
      </w:pPr>
    </w:p>
    <w:p>
      <w:pPr>
        <w:pStyle w:val="6"/>
        <w:spacing w:line="360" w:lineRule="exact"/>
        <w:ind w:firstLine="420"/>
        <w:rPr>
          <w:rFonts w:hint="eastAsia" w:ascii="宋体" w:hAnsi="宋体" w:eastAsia="宋体" w:cs="宋体"/>
          <w:szCs w:val="24"/>
        </w:rPr>
      </w:pPr>
      <w:r>
        <w:rPr>
          <w:rFonts w:hint="eastAsia" w:ascii="宋体" w:hAnsi="宋体" w:eastAsia="宋体" w:cs="宋体"/>
          <w:szCs w:val="24"/>
        </w:rPr>
        <w:t>(五)工作绩效奖金以当月的净利润作为计算标准。</w:t>
      </w:r>
    </w:p>
    <w:p>
      <w:pPr>
        <w:pStyle w:val="6"/>
        <w:spacing w:after="120" w:line="360" w:lineRule="exact"/>
        <w:ind w:left="630"/>
        <w:rPr>
          <w:rFonts w:hint="eastAsia" w:ascii="宋体" w:hAnsi="宋体" w:eastAsia="宋体" w:cs="宋体"/>
          <w:szCs w:val="24"/>
        </w:rPr>
      </w:pPr>
      <w:r>
        <w:rPr>
          <w:rFonts w:hint="eastAsia" w:ascii="宋体" w:hAnsi="宋体" w:eastAsia="宋体" w:cs="宋体"/>
          <w:szCs w:val="24"/>
        </w:rPr>
        <w:t>奖金发给的幅度制订如下：</w:t>
      </w:r>
    </w:p>
    <w:tbl>
      <w:tblPr>
        <w:tblStyle w:val="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4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全厂当月净利润</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每人奖金金额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40万元以上（含）</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800元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35万元（含）～40万元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30万元（含）～35万元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600元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25万元（含）～30万元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20万元（含）～25万元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15万元（含）～20万元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10万元（含）～15万元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5万元（含）～10万元</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jc w:val="center"/>
        </w:trPr>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5万元以下</w:t>
            </w:r>
          </w:p>
        </w:tc>
        <w:tc>
          <w:tcPr>
            <w:tcW w:w="46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0元</w:t>
            </w:r>
          </w:p>
        </w:tc>
      </w:tr>
    </w:tbl>
    <w:p>
      <w:pPr>
        <w:pStyle w:val="6"/>
        <w:spacing w:line="360" w:lineRule="exact"/>
        <w:rPr>
          <w:rFonts w:hint="eastAsia" w:ascii="宋体" w:hAnsi="宋体" w:eastAsia="宋体" w:cs="宋体"/>
          <w:szCs w:val="24"/>
        </w:rPr>
      </w:pPr>
      <w:r>
        <w:rPr>
          <w:rFonts w:hint="eastAsia" w:ascii="宋体" w:hAnsi="宋体" w:eastAsia="宋体" w:cs="宋体"/>
          <w:szCs w:val="24"/>
        </w:rPr>
        <w:t>*注：工作绩效奖金的发给应根据个人工作的成绩酌情增减。</w:t>
      </w:r>
    </w:p>
    <w:p>
      <w:pPr>
        <w:pStyle w:val="6"/>
        <w:spacing w:line="360" w:lineRule="exact"/>
        <w:ind w:firstLine="420"/>
        <w:rPr>
          <w:rFonts w:hint="eastAsia" w:ascii="宋体" w:hAnsi="宋体" w:eastAsia="宋体" w:cs="宋体"/>
          <w:szCs w:val="24"/>
        </w:rPr>
      </w:pPr>
      <w:r>
        <w:rPr>
          <w:rFonts w:hint="eastAsia" w:ascii="宋体" w:hAnsi="宋体" w:eastAsia="宋体" w:cs="宋体"/>
          <w:szCs w:val="24"/>
        </w:rPr>
        <w:t>(六)绩效奖金的核发工作由经理室及各处的处长共同办理。经经理签准后发给。</w:t>
      </w:r>
    </w:p>
    <w:p>
      <w:pPr>
        <w:pStyle w:val="6"/>
        <w:spacing w:after="120" w:line="360" w:lineRule="exact"/>
        <w:ind w:firstLine="420"/>
        <w:rPr>
          <w:rFonts w:hint="eastAsia" w:ascii="宋体" w:hAnsi="宋体" w:eastAsia="宋体" w:cs="宋体"/>
          <w:szCs w:val="24"/>
        </w:rPr>
      </w:pPr>
      <w:r>
        <w:rPr>
          <w:rFonts w:hint="eastAsia" w:ascii="宋体" w:hAnsi="宋体" w:eastAsia="宋体" w:cs="宋体"/>
          <w:szCs w:val="24"/>
        </w:rPr>
        <w:t>(七)本办法第四条制订的完工产品金额要根据现场作业人员的人数增减进行调整。第五条制订的净利润标准要根据营业额的多少进行调整。调整比率制订如下：</w:t>
      </w:r>
    </w:p>
    <w:tbl>
      <w:tblPr>
        <w:tblStyle w:val="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7"/>
        <w:gridCol w:w="3420"/>
        <w:gridCol w:w="2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3707"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全厂当月营业额</w:t>
            </w:r>
          </w:p>
        </w:tc>
        <w:tc>
          <w:tcPr>
            <w:tcW w:w="34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现场作业人员人数</w:t>
            </w:r>
          </w:p>
        </w:tc>
        <w:tc>
          <w:tcPr>
            <w:tcW w:w="2113"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调整比率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3707"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800万元（含）以上每增100万元</w:t>
            </w:r>
          </w:p>
        </w:tc>
        <w:tc>
          <w:tcPr>
            <w:tcW w:w="34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250人（含）以上每增50人</w:t>
            </w:r>
          </w:p>
        </w:tc>
        <w:tc>
          <w:tcPr>
            <w:tcW w:w="2113"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3707"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700万元（含)～800万元</w:t>
            </w:r>
          </w:p>
        </w:tc>
        <w:tc>
          <w:tcPr>
            <w:tcW w:w="34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200人（含）～250人</w:t>
            </w:r>
          </w:p>
        </w:tc>
        <w:tc>
          <w:tcPr>
            <w:tcW w:w="2113"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3707"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600万元（含）～700万元</w:t>
            </w:r>
          </w:p>
        </w:tc>
        <w:tc>
          <w:tcPr>
            <w:tcW w:w="34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175人（含）～200人</w:t>
            </w:r>
          </w:p>
        </w:tc>
        <w:tc>
          <w:tcPr>
            <w:tcW w:w="2113"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3707"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500万元（含）～ 600万元</w:t>
            </w:r>
          </w:p>
        </w:tc>
        <w:tc>
          <w:tcPr>
            <w:tcW w:w="34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150人（含）～175人</w:t>
            </w:r>
          </w:p>
        </w:tc>
        <w:tc>
          <w:tcPr>
            <w:tcW w:w="2113"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3707"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400万元（含）～ 500万元</w:t>
            </w:r>
          </w:p>
        </w:tc>
        <w:tc>
          <w:tcPr>
            <w:tcW w:w="3420"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125人（含）～150人</w:t>
            </w:r>
          </w:p>
        </w:tc>
        <w:tc>
          <w:tcPr>
            <w:tcW w:w="2113" w:type="dxa"/>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3707" w:type="dxa"/>
            <w:tcBorders>
              <w:bottom w:val="single" w:color="auto" w:sz="4" w:space="0"/>
            </w:tcBorders>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400万元以下</w:t>
            </w:r>
          </w:p>
        </w:tc>
        <w:tc>
          <w:tcPr>
            <w:tcW w:w="3420" w:type="dxa"/>
            <w:tcBorders>
              <w:bottom w:val="single" w:color="auto" w:sz="4" w:space="0"/>
            </w:tcBorders>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125人以下</w:t>
            </w:r>
          </w:p>
        </w:tc>
        <w:tc>
          <w:tcPr>
            <w:tcW w:w="2113" w:type="dxa"/>
            <w:tcBorders>
              <w:bottom w:val="single" w:color="auto" w:sz="4" w:space="0"/>
            </w:tcBorders>
          </w:tcPr>
          <w:p>
            <w:pPr>
              <w:spacing w:before="120" w:after="120"/>
              <w:jc w:val="center"/>
              <w:rPr>
                <w:rFonts w:hint="eastAsia" w:ascii="宋体" w:hAnsi="宋体" w:eastAsia="宋体" w:cs="宋体"/>
                <w:sz w:val="24"/>
                <w:szCs w:val="24"/>
              </w:rPr>
            </w:pPr>
            <w:r>
              <w:rPr>
                <w:rFonts w:hint="eastAsia" w:ascii="宋体" w:hAnsi="宋体" w:eastAsia="宋体" w:cs="宋体"/>
                <w:sz w:val="24"/>
                <w:szCs w:val="24"/>
              </w:rPr>
              <w:t>0%</w:t>
            </w:r>
          </w:p>
        </w:tc>
      </w:tr>
    </w:tbl>
    <w:p>
      <w:pPr>
        <w:pStyle w:val="6"/>
        <w:spacing w:line="360" w:lineRule="exact"/>
        <w:ind w:firstLine="420"/>
        <w:rPr>
          <w:rFonts w:hint="eastAsia" w:ascii="宋体" w:hAnsi="宋体" w:eastAsia="宋体" w:cs="宋体"/>
          <w:szCs w:val="24"/>
        </w:rPr>
      </w:pPr>
      <w:r>
        <w:rPr>
          <w:rFonts w:hint="eastAsia" w:ascii="宋体" w:hAnsi="宋体" w:eastAsia="宋体" w:cs="宋体"/>
          <w:szCs w:val="24"/>
        </w:rPr>
        <w:t>(八)本办法自公布之日起施行，未尽事宜可根据需要随时修订公布。</w:t>
      </w:r>
    </w:p>
    <w:p>
      <w:pPr>
        <w:rPr>
          <w:rFonts w:hint="eastAsia" w:ascii="宋体" w:hAnsi="宋体" w:eastAsia="宋体" w:cs="宋体"/>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2369"/>
    <w:rsid w:val="001A08FD"/>
    <w:rsid w:val="00231002"/>
    <w:rsid w:val="002A6EB8"/>
    <w:rsid w:val="003F6FD2"/>
    <w:rsid w:val="006D61EE"/>
    <w:rsid w:val="00AA7503"/>
    <w:rsid w:val="00AC2369"/>
    <w:rsid w:val="00F73B28"/>
    <w:rsid w:val="0B0C537D"/>
    <w:rsid w:val="49B277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3"/>
    <w:basedOn w:val="1"/>
    <w:next w:val="3"/>
    <w:link w:val="9"/>
    <w:qFormat/>
    <w:uiPriority w:val="0"/>
    <w:pPr>
      <w:keepNext/>
      <w:keepLines/>
      <w:pageBreakBefore/>
      <w:spacing w:after="120"/>
      <w:jc w:val="left"/>
      <w:outlineLvl w:val="2"/>
    </w:pPr>
    <w:rPr>
      <w:rFonts w:ascii="Times New Roman" w:hAnsi="Times New Roman" w:eastAsia="黑体" w:cs="Times New Roman"/>
      <w:sz w:val="28"/>
      <w:szCs w:val="20"/>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Normal Indent"/>
    <w:basedOn w:val="1"/>
    <w:unhideWhenUsed/>
    <w:qFormat/>
    <w:uiPriority w:val="99"/>
    <w:pPr>
      <w:ind w:firstLine="420" w:firstLineChars="200"/>
    </w:p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HTML Preformatted"/>
    <w:basedOn w:val="1"/>
    <w:link w:val="1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Times New Roman"/>
      <w:kern w:val="0"/>
      <w:sz w:val="24"/>
      <w:szCs w:val="20"/>
    </w:rPr>
  </w:style>
  <w:style w:type="character" w:customStyle="1" w:styleId="9">
    <w:name w:val="标题 3 字符"/>
    <w:link w:val="2"/>
    <w:uiPriority w:val="0"/>
    <w:rPr>
      <w:rFonts w:ascii="Times New Roman" w:hAnsi="Times New Roman" w:eastAsia="黑体" w:cs="Times New Roman"/>
      <w:sz w:val="28"/>
      <w:szCs w:val="20"/>
    </w:rPr>
  </w:style>
  <w:style w:type="character" w:customStyle="1" w:styleId="10">
    <w:name w:val="HTML 预设格式 字符"/>
    <w:link w:val="6"/>
    <w:qFormat/>
    <w:uiPriority w:val="0"/>
    <w:rPr>
      <w:rFonts w:ascii="宋体" w:hAnsi="宋体" w:eastAsia="宋体" w:cs="Times New Roman"/>
      <w:kern w:val="0"/>
      <w:sz w:val="24"/>
      <w:szCs w:val="20"/>
    </w:rPr>
  </w:style>
  <w:style w:type="character" w:customStyle="1" w:styleId="11">
    <w:name w:val="页眉 字符"/>
    <w:link w:val="5"/>
    <w:uiPriority w:val="99"/>
    <w:rPr>
      <w:sz w:val="18"/>
      <w:szCs w:val="18"/>
    </w:rPr>
  </w:style>
  <w:style w:type="character" w:customStyle="1" w:styleId="12">
    <w:name w:val="页脚 字符"/>
    <w:link w:val="4"/>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202</Words>
  <Characters>1153</Characters>
  <Lines>9</Lines>
  <Paragraphs>2</Paragraphs>
  <TotalTime>0</TotalTime>
  <ScaleCrop>false</ScaleCrop>
  <LinksUpToDate>false</LinksUpToDate>
  <CharactersWithSpaces>1353</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2016-08-19T01:32:00Z</dcterms:created>
  <dc:creator>www</dc:creator>
  <cp:lastModifiedBy>^O^珏</cp:lastModifiedBy>
  <dcterms:modified xsi:type="dcterms:W3CDTF">2019-12-08T02:35:28Z</dcterms:modified>
  <dc:title>绩效奖金施行办法(示例)</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