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*****公司年度培训规划与方案</w:t>
      </w:r>
    </w:p>
    <w:p>
      <w:pPr>
        <w:spacing w:line="560" w:lineRule="exact"/>
        <w:jc w:val="center"/>
        <w:rPr>
          <w:rFonts w:hint="eastAsia" w:ascii="宋体" w:hAnsi="宋体" w:eastAsia="宋体" w:cs="宋体"/>
          <w:b/>
          <w:bCs/>
          <w:sz w:val="36"/>
          <w:szCs w:val="36"/>
        </w:rPr>
      </w:pPr>
      <w:bookmarkStart w:id="0" w:name="_GoBack"/>
      <w:bookmarkEnd w:id="0"/>
    </w:p>
    <w:p>
      <w:pPr>
        <w:adjustRightInd w:val="0"/>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为加强培训管理，使培训工作的开展更具针对性和实效性，提升中基层职工的自主管理意识，加快完善班组建设和管理工作。同时，有效的整合、利用培训资源，推动**公司稳固发展，特制订本方案。</w:t>
      </w:r>
    </w:p>
    <w:p>
      <w:pPr>
        <w:adjustRightInd w:val="0"/>
        <w:snapToGrid w:val="0"/>
        <w:spacing w:line="560" w:lineRule="exact"/>
        <w:ind w:firstLine="560" w:firstLineChars="200"/>
        <w:rPr>
          <w:rFonts w:hint="eastAsia" w:ascii="宋体" w:hAnsi="宋体" w:eastAsia="宋体" w:cs="宋体"/>
          <w:sz w:val="28"/>
          <w:szCs w:val="28"/>
        </w:rPr>
      </w:pPr>
    </w:p>
    <w:p>
      <w:pPr>
        <w:spacing w:line="560" w:lineRule="exact"/>
        <w:ind w:left="-567" w:leftChars="-270"/>
        <w:rPr>
          <w:rFonts w:hint="eastAsia" w:ascii="宋体" w:hAnsi="宋体" w:eastAsia="宋体" w:cs="宋体"/>
          <w:b/>
          <w:sz w:val="28"/>
          <w:szCs w:val="28"/>
        </w:rPr>
      </w:pPr>
      <w:r>
        <w:rPr>
          <w:rFonts w:hint="eastAsia" w:ascii="宋体" w:hAnsi="宋体" w:eastAsia="宋体" w:cs="宋体"/>
          <w:b/>
          <w:sz w:val="28"/>
          <w:szCs w:val="28"/>
        </w:rPr>
        <w:t>一、培训目标</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、加强公司</w:t>
      </w:r>
      <w:r>
        <w:rPr>
          <w:rFonts w:hint="eastAsia" w:ascii="宋体" w:hAnsi="宋体" w:eastAsia="宋体" w:cs="宋体"/>
          <w:sz w:val="28"/>
          <w:szCs w:val="28"/>
        </w:rPr>
        <w:t>基层</w:t>
      </w:r>
      <w:r>
        <w:rPr>
          <w:rFonts w:hint="eastAsia" w:ascii="宋体" w:hAnsi="宋体" w:eastAsia="宋体" w:cs="宋体"/>
          <w:sz w:val="28"/>
          <w:szCs w:val="28"/>
        </w:rPr>
        <w:t>管理人员的培训，提高</w:t>
      </w:r>
      <w:r>
        <w:rPr>
          <w:rFonts w:hint="eastAsia" w:ascii="宋体" w:hAnsi="宋体" w:eastAsia="宋体" w:cs="宋体"/>
          <w:sz w:val="28"/>
          <w:szCs w:val="28"/>
        </w:rPr>
        <w:t>基层</w:t>
      </w:r>
      <w:r>
        <w:rPr>
          <w:rFonts w:hint="eastAsia" w:ascii="宋体" w:hAnsi="宋体" w:eastAsia="宋体" w:cs="宋体"/>
          <w:sz w:val="28"/>
          <w:szCs w:val="28"/>
        </w:rPr>
        <w:t>管理者的综合素质，完善知识结构，提高技术理论水平和专业技能</w:t>
      </w:r>
      <w:r>
        <w:rPr>
          <w:rFonts w:hint="eastAsia" w:ascii="宋体" w:hAnsi="宋体" w:eastAsia="宋体" w:cs="宋体"/>
          <w:sz w:val="28"/>
          <w:szCs w:val="28"/>
        </w:rPr>
        <w:t>，</w:t>
      </w:r>
      <w:r>
        <w:rPr>
          <w:rFonts w:hint="eastAsia" w:ascii="宋体" w:hAnsi="宋体" w:eastAsia="宋体" w:cs="宋体"/>
          <w:sz w:val="28"/>
          <w:szCs w:val="28"/>
        </w:rPr>
        <w:t>增强综合管理能力、创新能力和执行能力。</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、加强公司</w:t>
      </w:r>
      <w:r>
        <w:rPr>
          <w:rFonts w:hint="eastAsia" w:ascii="宋体" w:hAnsi="宋体" w:eastAsia="宋体" w:cs="宋体"/>
          <w:sz w:val="28"/>
          <w:szCs w:val="28"/>
        </w:rPr>
        <w:t>内训体系建设，充分开发内部培训资源，激励公司各级员工参与内训工作，发挥内训师在培训体系中的中坚作用。</w:t>
      </w:r>
    </w:p>
    <w:p>
      <w:pPr>
        <w:spacing w:line="560" w:lineRule="exact"/>
        <w:rPr>
          <w:rFonts w:hint="eastAsia" w:ascii="宋体" w:hAnsi="宋体" w:eastAsia="宋体" w:cs="宋体"/>
          <w:sz w:val="28"/>
          <w:szCs w:val="28"/>
        </w:rPr>
      </w:pPr>
    </w:p>
    <w:p>
      <w:pPr>
        <w:spacing w:line="560" w:lineRule="exact"/>
        <w:ind w:left="-567" w:leftChars="-270"/>
        <w:rPr>
          <w:rFonts w:hint="eastAsia" w:ascii="宋体" w:hAnsi="宋体" w:eastAsia="宋体" w:cs="宋体"/>
          <w:b/>
          <w:sz w:val="28"/>
          <w:szCs w:val="28"/>
        </w:rPr>
      </w:pPr>
      <w:r>
        <w:rPr>
          <w:rFonts w:hint="eastAsia" w:ascii="宋体" w:hAnsi="宋体" w:eastAsia="宋体" w:cs="宋体"/>
          <w:b/>
          <w:sz w:val="28"/>
          <w:szCs w:val="28"/>
        </w:rPr>
        <w:t>二、培训规划</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1、执行培训三级管理</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按照“全员性、层次性、针对性、实用性”的原则，由公司、车间、班组分级负责，分工管理，各有侧重。按照</w:t>
      </w:r>
      <w:r>
        <w:rPr>
          <w:rFonts w:hint="eastAsia" w:ascii="宋体" w:hAnsi="宋体" w:eastAsia="宋体" w:cs="宋体"/>
          <w:sz w:val="28"/>
          <w:szCs w:val="28"/>
        </w:rPr>
        <w:t>“</w:t>
      </w:r>
      <w:r>
        <w:rPr>
          <w:rFonts w:hint="eastAsia" w:ascii="宋体" w:hAnsi="宋体" w:eastAsia="宋体" w:cs="宋体"/>
          <w:sz w:val="28"/>
          <w:szCs w:val="28"/>
        </w:rPr>
        <w:t>谁管人、谁培训</w:t>
      </w:r>
      <w:r>
        <w:rPr>
          <w:rFonts w:hint="eastAsia" w:ascii="宋体" w:hAnsi="宋体" w:eastAsia="宋体" w:cs="宋体"/>
          <w:sz w:val="28"/>
          <w:szCs w:val="28"/>
        </w:rPr>
        <w:t>”</w:t>
      </w:r>
      <w:r>
        <w:rPr>
          <w:rFonts w:hint="eastAsia" w:ascii="宋体" w:hAnsi="宋体" w:eastAsia="宋体" w:cs="宋体"/>
          <w:sz w:val="28"/>
          <w:szCs w:val="28"/>
        </w:rPr>
        <w:t>的原则组织培训。形成纵向部署、横向稽核的管理模式。</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公司级：高层管理人员组成领导班子确立企业发展战略及目标，指导培训开展方向。下设执行办公室由人事处负责实施公司级培训工作的计划、组织和管理，指导各部门开展培训工作。</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车间级：车间管理人员参与公司级培训，同时按规定课时组织本部门职工进行学习，将理论与实践相结合，提升自身管理水平和职工工作能力。对本部门员工培训及学习情况进行跟踪、监督，并做出指导推动班组建设工作。结合职工提出的意见和建议总结培训需求，进行及时的调整和反馈。</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班组级：班组长须每月按规定课时完成自主学习，同时负责班组成员的培训和督导工作，组织班组成员开展学习活动，将岗位工作与培训内容深度结合，把培训所获得的知识转化并落实在工作中。发现生产中及自身存在的问题，提出改善目标、确定改善计划、提交改善结果，形成班组成长记录。</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2、搭建公司级培训课程体系</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以公司发展要求和职工培训需求为出发点，从行业市场、企业管理、生产经营、心态意识、技术技能等多个角度，建立完整的、可持续的培训课程体系。以内部培训与外部资源相结合、集中培训与自主学习相结合、课堂讲授与体验式培训相结合的方式，进行理论知识和管理水平的全面提升。</w:t>
      </w: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pict>
          <v:group id="_x0000_s1440" o:spid="_x0000_s1440" o:spt="203" style="position:absolute;left:0pt;margin-left:-19.65pt;margin-top:3pt;height:409.5pt;width:510.65pt;z-index:251568128;mso-width-relative:page;mso-height-relative:page;" coordorigin="3630,2930" coordsize="10288,7796">
            <o:lock v:ext="edit"/>
            <v:shape id="_x0000_s1441" o:spid="_x0000_s1441" o:spt="202" type="#_x0000_t202" style="position:absolute;left:10860;top:2930;height:6810;width:2415;" fillcolor="#D99594" filled="t" coordsize="21600,21600">
              <v:path/>
              <v:fill on="t" focussize="0,0"/>
              <v:stroke dashstyle="dashDot"/>
              <v:imagedata o:title=""/>
              <o:lock v:ext="edit"/>
              <v:textbox>
                <w:txbxContent>
                  <w:p>
                    <w:pPr>
                      <w:jc w:val="center"/>
                      <w:rPr>
                        <w:rFonts w:ascii="黑体" w:hAnsi="华文楷体" w:eastAsia="黑体"/>
                        <w:b/>
                        <w:sz w:val="28"/>
                        <w:szCs w:val="28"/>
                      </w:rPr>
                    </w:pPr>
                    <w:r>
                      <w:rPr>
                        <w:rFonts w:hint="eastAsia" w:ascii="黑体" w:hAnsi="华文楷体" w:eastAsia="黑体"/>
                        <w:b/>
                        <w:sz w:val="28"/>
                        <w:szCs w:val="28"/>
                      </w:rPr>
                      <w:t>高层管理者</w:t>
                    </w:r>
                  </w:p>
                </w:txbxContent>
              </v:textbox>
            </v:shape>
            <v:shape id="_x0000_s1442" o:spid="_x0000_s1442" o:spt="202" type="#_x0000_t202" style="position:absolute;left:8532;top:4145;height:5595;width:2328;" fillcolor="#FBD4B4" filled="t" coordsize="21600,21600">
              <v:path/>
              <v:fill on="t" focussize="0,0"/>
              <v:stroke dashstyle="dashDot"/>
              <v:imagedata o:title=""/>
              <o:lock v:ext="edit"/>
              <v:textbox>
                <w:txbxContent>
                  <w:p>
                    <w:pPr>
                      <w:jc w:val="center"/>
                      <w:rPr>
                        <w:rFonts w:ascii="黑体" w:hAnsi="华文楷体" w:eastAsia="黑体"/>
                        <w:b/>
                        <w:sz w:val="28"/>
                        <w:szCs w:val="28"/>
                      </w:rPr>
                    </w:pPr>
                    <w:r>
                      <w:rPr>
                        <w:rFonts w:hint="eastAsia" w:ascii="黑体" w:hAnsi="华文楷体" w:eastAsia="黑体"/>
                        <w:b/>
                        <w:sz w:val="28"/>
                        <w:szCs w:val="28"/>
                      </w:rPr>
                      <w:t>中层管理者</w:t>
                    </w:r>
                  </w:p>
                </w:txbxContent>
              </v:textbox>
            </v:shape>
            <v:shape id="_x0000_s1443" o:spid="_x0000_s1443" o:spt="202" type="#_x0000_t202" style="position:absolute;left:6165;top:5210;height:4530;width:2367;" fillcolor="#E5DFEC" filled="t" coordsize="21600,21600">
              <v:path/>
              <v:fill on="t" focussize="0,0"/>
              <v:stroke dashstyle="dashDot"/>
              <v:imagedata o:title=""/>
              <o:lock v:ext="edit"/>
              <v:textbox>
                <w:txbxContent>
                  <w:p>
                    <w:pPr>
                      <w:jc w:val="center"/>
                      <w:rPr>
                        <w:rFonts w:ascii="黑体" w:hAnsi="华文楷体" w:eastAsia="黑体"/>
                        <w:b/>
                        <w:sz w:val="28"/>
                        <w:szCs w:val="28"/>
                      </w:rPr>
                    </w:pPr>
                    <w:r>
                      <w:rPr>
                        <w:rFonts w:hint="eastAsia" w:ascii="黑体" w:hAnsi="华文楷体" w:eastAsia="黑体"/>
                        <w:b/>
                        <w:sz w:val="28"/>
                        <w:szCs w:val="28"/>
                      </w:rPr>
                      <w:t>基层管理者</w:t>
                    </w:r>
                  </w:p>
                </w:txbxContent>
              </v:textbox>
            </v:shape>
            <v:shape id="_x0000_s1444" o:spid="_x0000_s1444" o:spt="202" type="#_x0000_t202" style="position:absolute;left:4110;top:6245;height:3495;width:2055;" fillcolor="#DAEEF3" filled="t" coordsize="21600,21600">
              <v:path/>
              <v:fill on="t" focussize="0,0"/>
              <v:stroke dashstyle="dashDot"/>
              <v:imagedata o:title=""/>
              <o:lock v:ext="edit"/>
              <v:textbox>
                <w:txbxContent>
                  <w:p>
                    <w:pPr>
                      <w:jc w:val="center"/>
                      <w:rPr>
                        <w:rFonts w:ascii="黑体" w:hAnsi="华文楷体" w:eastAsia="黑体"/>
                        <w:b/>
                        <w:sz w:val="28"/>
                        <w:szCs w:val="28"/>
                      </w:rPr>
                    </w:pPr>
                    <w:r>
                      <w:rPr>
                        <w:rFonts w:hint="eastAsia" w:ascii="黑体" w:hAnsi="华文楷体" w:eastAsia="黑体"/>
                        <w:b/>
                        <w:sz w:val="28"/>
                        <w:szCs w:val="28"/>
                      </w:rPr>
                      <w:t>优秀职工</w:t>
                    </w:r>
                  </w:p>
                </w:txbxContent>
              </v:textbox>
            </v:shape>
            <v:roundrect id="_x0000_s1445" o:spid="_x0000_s1445" o:spt="2" style="position:absolute;left:11289;top:7184;height:7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行为心理</w:t>
                    </w:r>
                  </w:p>
                  <w:p>
                    <w:pPr>
                      <w:jc w:val="center"/>
                      <w:rPr>
                        <w:rFonts w:ascii="楷体_GB2312" w:eastAsia="楷体_GB2312"/>
                        <w:b/>
                        <w:szCs w:val="21"/>
                      </w:rPr>
                    </w:pPr>
                    <w:r>
                      <w:rPr>
                        <w:rFonts w:hint="eastAsia" w:ascii="楷体_GB2312" w:eastAsia="楷体_GB2312"/>
                        <w:b/>
                        <w:szCs w:val="21"/>
                      </w:rPr>
                      <w:t>管理</w:t>
                    </w:r>
                  </w:p>
                </w:txbxContent>
              </v:textbox>
            </v:roundrect>
            <v:roundrect id="_x0000_s1446" o:spid="_x0000_s1446" o:spt="2" style="position:absolute;left:9606;top:6077;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生产管理</w:t>
                    </w:r>
                  </w:p>
                </w:txbxContent>
              </v:textbox>
            </v:roundrect>
            <v:roundrect id="_x0000_s1447" o:spid="_x0000_s1447" o:spt="2" style="position:absolute;left:9621;top:7572;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设备管理</w:t>
                    </w:r>
                  </w:p>
                </w:txbxContent>
              </v:textbox>
            </v:roundrect>
            <v:roundrect id="_x0000_s1448" o:spid="_x0000_s1448" o:spt="2" style="position:absolute;left:9606;top:6825;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现场管理</w:t>
                    </w:r>
                  </w:p>
                </w:txbxContent>
              </v:textbox>
            </v:roundrect>
            <v:roundrect id="_x0000_s1449" o:spid="_x0000_s1449" o:spt="2" style="position:absolute;left:9621;top:8320;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成本管理</w:t>
                    </w:r>
                  </w:p>
                </w:txbxContent>
              </v:textbox>
            </v:roundrect>
            <v:roundrect id="_x0000_s1450" o:spid="_x0000_s1450" o:spt="2" style="position:absolute;left:9621;top:906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质量管理</w:t>
                    </w:r>
                  </w:p>
                </w:txbxContent>
              </v:textbox>
            </v:roundrect>
            <v:roundrect id="_x0000_s1451" o:spid="_x0000_s1451" o:spt="2" style="position:absolute;left:6282;top:906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专业技术</w:t>
                    </w:r>
                  </w:p>
                </w:txbxContent>
              </v:textbox>
            </v:roundrect>
            <v:roundrect id="_x0000_s1452" o:spid="_x0000_s1452" o:spt="2" style="position:absolute;left:9606;top:5330;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下属培养</w:t>
                    </w:r>
                  </w:p>
                </w:txbxContent>
              </v:textbox>
            </v:roundrect>
            <v:roundrect id="_x0000_s1453" o:spid="_x0000_s1453" o:spt="2" style="position:absolute;left:11289;top:4460;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行业市场</w:t>
                    </w:r>
                  </w:p>
                </w:txbxContent>
              </v:textbox>
            </v:roundrect>
            <v:roundrect id="_x0000_s1454" o:spid="_x0000_s1454" o:spt="2" style="position:absolute;left:11289;top:6143;height:767;width:1417;" fillcolor="#F2F2F2" filled="t" coordsize="21600,21600" arcsize="0.166666666666667">
              <v:path/>
              <v:fill on="t" focussize="0,0"/>
              <v:stroke weight="1pt"/>
              <v:imagedata o:title=""/>
              <o:lock v:ext="edit"/>
              <v:textbox>
                <w:txbxContent>
                  <w:p>
                    <w:pPr>
                      <w:jc w:val="center"/>
                      <w:rPr>
                        <w:rFonts w:ascii="楷体_GB2312" w:eastAsia="楷体_GB2312"/>
                        <w:b/>
                      </w:rPr>
                    </w:pPr>
                    <w:r>
                      <w:rPr>
                        <w:rFonts w:hint="eastAsia" w:ascii="楷体_GB2312" w:eastAsia="楷体_GB2312"/>
                        <w:b/>
                      </w:rPr>
                      <w:t>企业组织</w:t>
                    </w:r>
                  </w:p>
                  <w:p>
                    <w:pPr>
                      <w:jc w:val="center"/>
                      <w:rPr>
                        <w:rFonts w:ascii="楷体_GB2312" w:eastAsia="楷体_GB2312"/>
                        <w:b/>
                        <w:szCs w:val="22"/>
                      </w:rPr>
                    </w:pPr>
                    <w:r>
                      <w:rPr>
                        <w:rFonts w:hint="eastAsia" w:ascii="楷体_GB2312" w:eastAsia="楷体_GB2312"/>
                        <w:b/>
                      </w:rPr>
                      <w:t>管理</w:t>
                    </w:r>
                  </w:p>
                </w:txbxContent>
              </v:textbox>
            </v:roundrect>
            <v:roundrect id="_x0000_s1455" o:spid="_x0000_s1455" o:spt="2" style="position:absolute;left:6285;top:832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心态意识</w:t>
                    </w:r>
                  </w:p>
                </w:txbxContent>
              </v:textbox>
            </v:roundrect>
            <v:roundrect id="_x0000_s1456" o:spid="_x0000_s1456" o:spt="2" style="position:absolute;left:7934;top:906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专业技术</w:t>
                    </w:r>
                  </w:p>
                </w:txbxContent>
              </v:textbox>
            </v:roundrect>
            <v:roundrect id="_x0000_s1457" o:spid="_x0000_s1457" o:spt="2" style="position:absolute;left:6282;top:758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安全管理</w:t>
                    </w:r>
                  </w:p>
                </w:txbxContent>
              </v:textbox>
            </v:roundrect>
            <v:roundrect id="_x0000_s1458" o:spid="_x0000_s1458" o:spt="2" style="position:absolute;left:6282;top:6849;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现场管理</w:t>
                    </w:r>
                  </w:p>
                </w:txbxContent>
              </v:textbox>
            </v:roundrect>
            <v:roundrect id="_x0000_s1459" o:spid="_x0000_s1459" o:spt="2" style="position:absolute;left:4618;top:906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专业技术</w:t>
                    </w:r>
                  </w:p>
                </w:txbxContent>
              </v:textbox>
            </v:roundrect>
            <v:roundrect id="_x0000_s1460" o:spid="_x0000_s1460" o:spt="2" style="position:absolute;left:4618;top:8346;height:567;width:1417;" fillcolor="#F2F2F2" filled="t" coordsize="21600,21600" arcsize="0.166666666666667">
              <v:path/>
              <v:fill on="t" focussize="0,0"/>
              <v:stroke/>
              <v:imagedata o:title=""/>
              <o:lock v:ext="edit"/>
              <v:textbox>
                <w:txbxContent>
                  <w:p>
                    <w:pPr>
                      <w:rPr>
                        <w:rFonts w:ascii="楷体_GB2312" w:eastAsia="楷体_GB2312"/>
                        <w:b/>
                        <w:szCs w:val="21"/>
                      </w:rPr>
                    </w:pPr>
                    <w:r>
                      <w:rPr>
                        <w:rFonts w:hint="eastAsia" w:ascii="楷体_GB2312" w:eastAsia="楷体_GB2312"/>
                        <w:b/>
                        <w:szCs w:val="21"/>
                      </w:rPr>
                      <w:t>心态意识</w:t>
                    </w:r>
                  </w:p>
                </w:txbxContent>
              </v:textbox>
            </v:roundrect>
            <v:roundrect id="_x0000_s1461" o:spid="_x0000_s1461" o:spt="2" style="position:absolute;left:7953;top:832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设备管理</w:t>
                    </w:r>
                  </w:p>
                </w:txbxContent>
              </v:textbox>
            </v:roundrect>
            <v:roundrect id="_x0000_s1462" o:spid="_x0000_s1462" o:spt="2" style="position:absolute;left:7953;top:7610;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安全管理</w:t>
                    </w:r>
                  </w:p>
                </w:txbxContent>
              </v:textbox>
            </v:roundrect>
            <v:roundrect id="_x0000_s1463" o:spid="_x0000_s1463" o:spt="2" style="position:absolute;left:7949;top:6849;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现场管理</w:t>
                    </w:r>
                  </w:p>
                </w:txbxContent>
              </v:textbox>
            </v:roundrect>
            <v:roundrect id="_x0000_s1464" o:spid="_x0000_s1464" o:spt="2" style="position:absolute;left:7949;top:6110;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生产管理</w:t>
                    </w:r>
                  </w:p>
                </w:txbxContent>
              </v:textbox>
            </v:roundrect>
            <v:roundrect id="_x0000_s1465" o:spid="_x0000_s1465" o:spt="2" style="position:absolute;left:4618;top:7625;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安全管理</w:t>
                    </w:r>
                  </w:p>
                </w:txbxContent>
              </v:textbox>
            </v:roundrect>
            <v:roundrect id="_x0000_s1466" o:spid="_x0000_s1466" o:spt="2" style="position:absolute;left:11289;top:9068;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成本分析</w:t>
                    </w:r>
                  </w:p>
                </w:txbxContent>
              </v:textbox>
            </v:roundrect>
            <v:roundrect id="_x0000_s1467" o:spid="_x0000_s1467" o:spt="2" style="position:absolute;left:11289;top:8226;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生产经营</w:t>
                    </w:r>
                  </w:p>
                </w:txbxContent>
              </v:textbox>
            </v:roundrect>
            <v:roundrect id="_x0000_s1468" o:spid="_x0000_s1468" o:spt="2" style="position:absolute;left:11289;top:5301;height:567;width:1417;" fillcolor="#F2F2F2" filled="t" coordsize="21600,21600" arcsize="0.166666666666667">
              <v:path/>
              <v:fill on="t" focussize="0,0"/>
              <v:stroke/>
              <v:imagedata o:title=""/>
              <o:lock v:ext="edit"/>
              <v:textbox>
                <w:txbxContent>
                  <w:p>
                    <w:pPr>
                      <w:jc w:val="center"/>
                      <w:rPr>
                        <w:rFonts w:ascii="楷体_GB2312" w:eastAsia="楷体_GB2312"/>
                        <w:b/>
                        <w:szCs w:val="21"/>
                      </w:rPr>
                    </w:pPr>
                    <w:r>
                      <w:rPr>
                        <w:rFonts w:hint="eastAsia" w:ascii="楷体_GB2312" w:eastAsia="楷体_GB2312"/>
                        <w:b/>
                        <w:szCs w:val="21"/>
                      </w:rPr>
                      <w:t>下属培养</w:t>
                    </w:r>
                  </w:p>
                </w:txbxContent>
              </v:textbox>
            </v:roundrect>
            <v:shape id="_x0000_s1469" o:spid="_x0000_s1469" o:spt="32" type="#_x0000_t32" style="position:absolute;left:5999;top:10202;height:1;width:1838;" o:connectortype="straight" filled="f" stroked="t" coordsize="21600,21600">
              <v:path arrowok="t"/>
              <v:fill on="f" focussize="0,0"/>
              <v:stroke weight="1.5pt" color="#0070C0" endarrow="block"/>
              <v:imagedata o:title=""/>
              <o:lock v:ext="edit"/>
            </v:shape>
            <v:shape id="_x0000_s1470" o:spid="_x0000_s1470" o:spt="202" type="#_x0000_t202" style="position:absolute;left:3868;top:9856;height:870;width:2131;" filled="f" stroked="f" coordsize="21600,21600">
              <v:path/>
              <v:fill on="f" focussize="0,0"/>
              <v:stroke on="f" joinstyle="miter"/>
              <v:imagedata o:title=""/>
              <o:lock v:ext="edit"/>
              <v:textbox>
                <w:txbxContent>
                  <w:p>
                    <w:pPr>
                      <w:jc w:val="center"/>
                      <w:rPr>
                        <w:rFonts w:ascii="华文行楷" w:eastAsia="华文行楷"/>
                        <w:color w:val="0070C0"/>
                        <w:sz w:val="40"/>
                        <w:szCs w:val="40"/>
                      </w:rPr>
                    </w:pPr>
                    <w:r>
                      <w:rPr>
                        <w:rFonts w:hint="eastAsia" w:ascii="华文行楷" w:eastAsia="华文行楷"/>
                        <w:color w:val="0070C0"/>
                        <w:sz w:val="40"/>
                        <w:szCs w:val="40"/>
                      </w:rPr>
                      <w:t>生产操作</w:t>
                    </w:r>
                  </w:p>
                </w:txbxContent>
              </v:textbox>
            </v:shape>
            <v:shape id="_x0000_s1471" o:spid="_x0000_s1471" o:spt="202" type="#_x0000_t202" style="position:absolute;left:7695;top:9856;height:870;width:2131;" filled="f" stroked="f" coordsize="21600,21600">
              <v:path/>
              <v:fill on="f" focussize="0,0"/>
              <v:stroke on="f" joinstyle="miter"/>
              <v:imagedata o:title=""/>
              <o:lock v:ext="edit"/>
              <v:textbox>
                <w:txbxContent>
                  <w:p>
                    <w:pPr>
                      <w:jc w:val="center"/>
                      <w:rPr>
                        <w:rFonts w:ascii="华文行楷" w:eastAsia="华文行楷"/>
                        <w:color w:val="7030A0"/>
                        <w:sz w:val="40"/>
                        <w:szCs w:val="40"/>
                      </w:rPr>
                    </w:pPr>
                    <w:r>
                      <w:rPr>
                        <w:rFonts w:hint="eastAsia" w:ascii="华文行楷" w:eastAsia="华文行楷"/>
                        <w:color w:val="7030A0"/>
                        <w:sz w:val="40"/>
                        <w:szCs w:val="40"/>
                      </w:rPr>
                      <w:t>生产管理</w:t>
                    </w:r>
                  </w:p>
                </w:txbxContent>
              </v:textbox>
            </v:shape>
            <v:shape id="_x0000_s1472" o:spid="_x0000_s1472" o:spt="32" type="#_x0000_t32" style="position:absolute;left:9920;top:10186;flip:y;height:16;width:1867;" o:connectortype="straight" filled="f" stroked="t" coordsize="21600,21600">
              <v:path arrowok="t"/>
              <v:fill on="f" focussize="0,0"/>
              <v:stroke weight="1.5pt" color="#7030A0" endarrow="block"/>
              <v:imagedata o:title=""/>
              <o:lock v:ext="edit"/>
            </v:shape>
            <v:shape id="_x0000_s1473" o:spid="_x0000_s1473" o:spt="202" type="#_x0000_t202" style="position:absolute;left:11787;top:9856;height:870;width:2131;" filled="f" stroked="f" coordsize="21600,21600">
              <v:path/>
              <v:fill on="f" focussize="0,0"/>
              <v:stroke on="f" joinstyle="miter"/>
              <v:imagedata o:title=""/>
              <o:lock v:ext="edit"/>
              <v:textbox>
                <w:txbxContent>
                  <w:p>
                    <w:pPr>
                      <w:jc w:val="center"/>
                      <w:rPr>
                        <w:rFonts w:ascii="华文行楷" w:eastAsia="华文行楷"/>
                        <w:color w:val="FF0000"/>
                        <w:sz w:val="40"/>
                        <w:szCs w:val="40"/>
                      </w:rPr>
                    </w:pPr>
                    <w:r>
                      <w:rPr>
                        <w:rFonts w:hint="eastAsia" w:ascii="华文行楷" w:eastAsia="华文行楷"/>
                        <w:color w:val="FF0000"/>
                        <w:sz w:val="40"/>
                        <w:szCs w:val="40"/>
                      </w:rPr>
                      <w:t>企业管理</w:t>
                    </w:r>
                  </w:p>
                </w:txbxContent>
              </v:textbox>
            </v:shape>
            <v:shape id="_x0000_s1474" o:spid="_x0000_s1474" o:spt="32" type="#_x0000_t32" style="position:absolute;left:3630;top:3410;flip:y;height:4541;width:9525;" o:connectortype="straight" filled="f" stroked="t" coordsize="21600,21600">
              <v:path arrowok="t"/>
              <v:fill on="f" focussize="0,0"/>
              <v:stroke weight="1.75pt" color="#FF0000" endarrow="block"/>
              <v:imagedata o:title=""/>
              <o:lock v:ext="edit"/>
            </v:shape>
          </v:group>
        </w:pict>
      </w: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rPr>
          <w:rFonts w:hint="eastAsia" w:ascii="宋体" w:hAnsi="宋体" w:eastAsia="宋体" w:cs="宋体"/>
          <w:sz w:val="28"/>
          <w:szCs w:val="28"/>
        </w:rPr>
        <w:sectPr>
          <w:pgSz w:w="11906" w:h="16838"/>
          <w:pgMar w:top="1276" w:right="1418" w:bottom="1560" w:left="1418" w:header="851" w:footer="992" w:gutter="0"/>
          <w:cols w:space="720" w:num="1"/>
          <w:docGrid w:linePitch="312" w:charSpace="0"/>
        </w:sectPr>
      </w:pP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现有资源将培训课题分为专业管理类、生产运营类、技术技能类、综合管理类四个类别。下设企业经营管理、生产制造管理、管理技能、职业技术、行业市场、心态意识等十二个培训维度。同时整合现有培训项目，按人员的不同层级进行课程匹配，通过体系内课程的必修与选修分清培训主次，实现综合管理能力提升。</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3、开发内训资源</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以选拔、培养内训师为目的，解决专岗专训问题为目标。提高内训师授课质量、提升内训师课程开发与教材制作能力，完善公司内部讲师管理制度，推进公司各层级、各类别内部培训工作。面向全员进行内训课题征集和内训人才选拔，充分开发内部培训资源，使宝贵的生产经验和生产技术得以放大和传承。</w:t>
      </w:r>
    </w:p>
    <w:p>
      <w:pPr>
        <w:spacing w:line="560" w:lineRule="exact"/>
        <w:ind w:firstLine="424" w:firstLineChars="202"/>
        <w:rPr>
          <w:rFonts w:hint="eastAsia" w:ascii="宋体" w:hAnsi="宋体" w:eastAsia="宋体" w:cs="宋体"/>
          <w:sz w:val="28"/>
          <w:szCs w:val="28"/>
        </w:rPr>
      </w:pPr>
      <w:r>
        <w:rPr>
          <w:rFonts w:hint="eastAsia" w:ascii="宋体" w:hAnsi="宋体" w:eastAsia="宋体" w:cs="宋体"/>
        </w:rPr>
        <w:drawing>
          <wp:anchor distT="0" distB="0" distL="114300" distR="114300" simplePos="0" relativeHeight="251567104" behindDoc="0" locked="0" layoutInCell="1" allowOverlap="1">
            <wp:simplePos x="0" y="0"/>
            <wp:positionH relativeFrom="column">
              <wp:posOffset>-595630</wp:posOffset>
            </wp:positionH>
            <wp:positionV relativeFrom="paragraph">
              <wp:posOffset>186055</wp:posOffset>
            </wp:positionV>
            <wp:extent cx="6955790" cy="4410710"/>
            <wp:effectExtent l="19050" t="0" r="0" b="0"/>
            <wp:wrapNone/>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pic:cNvPicPr>
                      <a:picLocks noChangeAspect="1" noChangeArrowheads="1"/>
                    </pic:cNvPicPr>
                  </pic:nvPicPr>
                  <pic:blipFill>
                    <a:blip r:embed="rId4"/>
                    <a:srcRect/>
                    <a:stretch>
                      <a:fillRect/>
                    </a:stretch>
                  </pic:blipFill>
                  <pic:spPr>
                    <a:xfrm>
                      <a:off x="0" y="0"/>
                      <a:ext cx="6955790" cy="4410710"/>
                    </a:xfrm>
                    <a:prstGeom prst="rect">
                      <a:avLst/>
                    </a:prstGeom>
                    <a:noFill/>
                    <a:ln w="9525">
                      <a:noFill/>
                      <a:miter lim="800000"/>
                      <a:headEnd/>
                      <a:tailEnd/>
                    </a:ln>
                  </pic:spPr>
                </pic:pic>
              </a:graphicData>
            </a:graphic>
          </wp:anchor>
        </w:drawing>
      </w: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ind w:firstLine="565" w:firstLineChars="202"/>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rPr>
          <w:rFonts w:hint="eastAsia" w:ascii="宋体" w:hAnsi="宋体" w:eastAsia="宋体" w:cs="宋体"/>
          <w:sz w:val="28"/>
          <w:szCs w:val="28"/>
        </w:rPr>
      </w:pPr>
    </w:p>
    <w:p>
      <w:pPr>
        <w:spacing w:line="560" w:lineRule="exact"/>
        <w:ind w:left="567" w:leftChars="270"/>
        <w:rPr>
          <w:rFonts w:hint="eastAsia" w:ascii="宋体" w:hAnsi="宋体" w:eastAsia="宋体" w:cs="宋体"/>
          <w:sz w:val="28"/>
          <w:szCs w:val="28"/>
        </w:rPr>
      </w:pPr>
      <w:r>
        <w:rPr>
          <w:rFonts w:hint="eastAsia" w:ascii="宋体" w:hAnsi="宋体" w:eastAsia="宋体" w:cs="宋体"/>
          <w:sz w:val="28"/>
          <w:szCs w:val="28"/>
        </w:rPr>
        <w:t>4、推动后备人才培养工作</w:t>
      </w:r>
    </w:p>
    <w:p>
      <w:pPr>
        <w:spacing w:line="5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延续“6-2-2”后备人才培养方式以岗位实战为主，加强后备人才岗位的实操能力，增设挂职锻炼环节作为重点考评内容；以培训提升为辅，将后备人才项目与公司级中基层管理人员培训进行整体融合，根据后备人才的不同层级确定培训课程的必修和选修，同时按规定课时完成每月的自主学习，由直属领导和隔级领导通过岗位实战表现、个人岗位实战总结，同时结合培训学习情况进行综合评定。</w:t>
      </w:r>
    </w:p>
    <w:p>
      <w:pPr>
        <w:spacing w:line="560" w:lineRule="exact"/>
        <w:ind w:left="-567" w:leftChars="-270"/>
        <w:rPr>
          <w:rFonts w:hint="eastAsia" w:ascii="宋体" w:hAnsi="宋体" w:eastAsia="宋体" w:cs="宋体"/>
          <w:b/>
          <w:sz w:val="28"/>
          <w:szCs w:val="28"/>
        </w:rPr>
      </w:pPr>
      <w:r>
        <w:rPr>
          <w:rFonts w:hint="eastAsia" w:ascii="宋体" w:hAnsi="宋体" w:eastAsia="宋体" w:cs="宋体"/>
          <w:b/>
          <w:sz w:val="28"/>
          <w:szCs w:val="28"/>
        </w:rPr>
        <w:t>三、培训实施</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公司级培训由人事根据公司年度培训计划负责具体组织实施、管理和追踪。</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1、建立员工培训档案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班组级以上人员及各单位涉及外部培训人员均需填写唯一编号培训档案，该档案将集中记录每名参加公司内部和外部培训人员的基本信息、培训课时、考勤记录、培训课题、学习总结等培训有关记录，并由人事处统一管理。同时该档案将作为培训评分的一项重要指标和培训考评的重要依据，人事处将结合档案培训记录和学习总结内容进行实操情况的追踪抽查。</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2、完善《班组成长学习手册》</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班组长级人员为基层骨干，是将理论转化为实践的关键点，通过上级指导和培训学习发现生产中存在的不足，积极提出改善目标、制定改善计划并记录可稽核的改善结果，是建立《班组成长学习手册》的基本目的。结合上年度《手册》的使用情况，需继续加强班组长自主学习和自主改善的推进工作，严格管理改善行动的实效性。通过量化目标、稽核结果、责任到人等方式，带动各生产单位中基层管理人员主动寻找问题、挖掘自身潜力，以此促进生产水平的全面提升。</w:t>
      </w:r>
    </w:p>
    <w:p>
      <w:pPr>
        <w:spacing w:line="560" w:lineRule="exact"/>
        <w:ind w:firstLine="560" w:firstLineChars="200"/>
        <w:rPr>
          <w:rFonts w:hint="eastAsia" w:ascii="宋体" w:hAnsi="宋体" w:eastAsia="宋体" w:cs="宋体"/>
          <w:sz w:val="28"/>
          <w:szCs w:val="28"/>
        </w:rPr>
      </w:pPr>
    </w:p>
    <w:p>
      <w:pPr>
        <w:spacing w:line="560" w:lineRule="exact"/>
        <w:ind w:left="1" w:leftChars="-270" w:hanging="568" w:hangingChars="202"/>
        <w:rPr>
          <w:rFonts w:hint="eastAsia" w:ascii="宋体" w:hAnsi="宋体" w:eastAsia="宋体" w:cs="宋体"/>
          <w:b/>
          <w:sz w:val="28"/>
          <w:szCs w:val="28"/>
        </w:rPr>
      </w:pPr>
      <w:r>
        <w:rPr>
          <w:rFonts w:hint="eastAsia" w:ascii="宋体" w:hAnsi="宋体" w:eastAsia="宋体" w:cs="宋体"/>
          <w:b/>
          <w:sz w:val="28"/>
          <w:szCs w:val="28"/>
        </w:rPr>
        <w:t>四、培训评估</w:t>
      </w:r>
    </w:p>
    <w:p>
      <w:pPr>
        <w:spacing w:line="560" w:lineRule="exact"/>
        <w:ind w:left="-2" w:leftChars="-1" w:firstLine="565" w:firstLineChars="202"/>
        <w:rPr>
          <w:rFonts w:hint="eastAsia" w:ascii="宋体" w:hAnsi="宋体" w:eastAsia="宋体" w:cs="宋体"/>
          <w:sz w:val="28"/>
          <w:szCs w:val="28"/>
        </w:rPr>
      </w:pPr>
      <w:r>
        <w:rPr>
          <w:rFonts w:hint="eastAsia" w:ascii="宋体" w:hAnsi="宋体" w:eastAsia="宋体" w:cs="宋体"/>
          <w:sz w:val="28"/>
          <w:szCs w:val="28"/>
        </w:rPr>
        <w:t>1、班组建设培训评估</w:t>
      </w:r>
    </w:p>
    <w:p>
      <w:pPr>
        <w:spacing w:line="560" w:lineRule="exact"/>
        <w:ind w:left="-2" w:leftChars="-1" w:firstLine="565" w:firstLineChars="202"/>
        <w:rPr>
          <w:rFonts w:hint="eastAsia" w:ascii="宋体" w:hAnsi="宋体" w:eastAsia="宋体" w:cs="宋体"/>
          <w:sz w:val="28"/>
          <w:szCs w:val="28"/>
        </w:rPr>
      </w:pPr>
      <w:r>
        <w:rPr>
          <w:rFonts w:hint="eastAsia" w:ascii="宋体" w:hAnsi="宋体" w:eastAsia="宋体" w:cs="宋体"/>
          <w:sz w:val="28"/>
          <w:szCs w:val="28"/>
        </w:rPr>
        <w:t>（1）通过《员工培训档案》对培训课时、培训出勤、参训情况、学习总结等培训涉及内容进行综合性评分。分别以公司级和厂级为单位进行人员排名，按月度评分结果落后人员（排名后5%）予以通报批评，按季度评分结果评选优秀职工(排名前5%)给予奖励。</w:t>
      </w:r>
    </w:p>
    <w:p>
      <w:pPr>
        <w:spacing w:line="560" w:lineRule="exact"/>
        <w:ind w:left="-2" w:leftChars="-1" w:firstLine="565" w:firstLineChars="202"/>
        <w:rPr>
          <w:rFonts w:hint="eastAsia" w:ascii="宋体" w:hAnsi="宋体" w:eastAsia="宋体" w:cs="宋体"/>
          <w:sz w:val="28"/>
          <w:szCs w:val="28"/>
        </w:rPr>
      </w:pPr>
      <w:r>
        <w:rPr>
          <w:rFonts w:hint="eastAsia" w:ascii="宋体" w:hAnsi="宋体" w:eastAsia="宋体" w:cs="宋体"/>
          <w:sz w:val="28"/>
          <w:szCs w:val="28"/>
        </w:rPr>
        <w:t>（2）根据培训学习总结进行培训效果追踪，从培训传导、现场改善、能力提升等多个角度进行《班组成长学习手册》的检查工作。各车间根据班组改善实施情况由车间负责人进行评分，单位负责人审核。人事处通过月度改善成果抽查核定分数的有效性，按实际完成情况给予加分或减分。</w:t>
      </w:r>
    </w:p>
    <w:p>
      <w:pPr>
        <w:spacing w:line="560" w:lineRule="exact"/>
        <w:ind w:left="-2" w:leftChars="-1" w:firstLine="560" w:firstLineChars="200"/>
        <w:rPr>
          <w:rFonts w:hint="eastAsia" w:ascii="宋体" w:hAnsi="宋体" w:eastAsia="宋体" w:cs="宋体"/>
          <w:sz w:val="28"/>
          <w:szCs w:val="28"/>
        </w:rPr>
      </w:pPr>
      <w:r>
        <w:rPr>
          <w:rFonts w:hint="eastAsia" w:ascii="宋体" w:hAnsi="宋体" w:eastAsia="宋体" w:cs="宋体"/>
          <w:sz w:val="28"/>
          <w:szCs w:val="28"/>
        </w:rPr>
        <w:t>（3）建立培训综合管理台账，将上述评分结果进行精准记录。该台账将作为参训员工年度排名核心依据，排名前10%人员给予奖励，同时将成为年度评优、评先重点选拔对象；另按生产主体单位、生产辅助单位进行划分，根据各单位参训人员综合平均分进行排名，评选年度优秀参训单位。</w:t>
      </w:r>
    </w:p>
    <w:p>
      <w:pPr>
        <w:spacing w:line="560" w:lineRule="exact"/>
        <w:ind w:left="-2" w:leftChars="-1" w:firstLine="420" w:firstLineChars="150"/>
        <w:rPr>
          <w:rFonts w:hint="eastAsia" w:ascii="宋体" w:hAnsi="宋体" w:eastAsia="宋体" w:cs="宋体"/>
          <w:sz w:val="28"/>
          <w:szCs w:val="28"/>
        </w:rPr>
      </w:pPr>
      <w:r>
        <w:rPr>
          <w:rFonts w:hint="eastAsia" w:ascii="宋体" w:hAnsi="宋体" w:eastAsia="宋体" w:cs="宋体"/>
          <w:sz w:val="28"/>
          <w:szCs w:val="28"/>
        </w:rPr>
        <w:t>（4）后备人才评价结果按照各层级干部后备队总分进行排名，每个层级干部后备队，在本单位内按照优秀、良好、合格、有差距四个等级排序，采取强制分布形式，即优秀等级人员占总体人员比例的20%，良好等级人员占总体人员比例的30%，合格等级人员占总体人员比例的40%，有差距等级人员占总体人员比例的10%，评价为有差距的员工取消其后备人才资格。</w:t>
      </w:r>
    </w:p>
    <w:sectPr>
      <w:pgSz w:w="11906" w:h="16838"/>
      <w:pgMar w:top="1276" w:right="1418" w:bottom="156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28"/>
    <w:rsid w:val="000068A6"/>
    <w:rsid w:val="00015D34"/>
    <w:rsid w:val="000174A6"/>
    <w:rsid w:val="00024122"/>
    <w:rsid w:val="00026C66"/>
    <w:rsid w:val="00032FF0"/>
    <w:rsid w:val="0004149E"/>
    <w:rsid w:val="0006173B"/>
    <w:rsid w:val="00062EBC"/>
    <w:rsid w:val="0007096A"/>
    <w:rsid w:val="00073611"/>
    <w:rsid w:val="00076545"/>
    <w:rsid w:val="000857C8"/>
    <w:rsid w:val="00096087"/>
    <w:rsid w:val="00097214"/>
    <w:rsid w:val="000979DF"/>
    <w:rsid w:val="000A735F"/>
    <w:rsid w:val="000B610F"/>
    <w:rsid w:val="000C2B26"/>
    <w:rsid w:val="000C6E6F"/>
    <w:rsid w:val="000D1C98"/>
    <w:rsid w:val="000D359F"/>
    <w:rsid w:val="000D60FB"/>
    <w:rsid w:val="000E645A"/>
    <w:rsid w:val="000F2500"/>
    <w:rsid w:val="000F4D01"/>
    <w:rsid w:val="000F6F73"/>
    <w:rsid w:val="001034BF"/>
    <w:rsid w:val="001150C7"/>
    <w:rsid w:val="001238AD"/>
    <w:rsid w:val="00123AB7"/>
    <w:rsid w:val="001420DA"/>
    <w:rsid w:val="0014644D"/>
    <w:rsid w:val="0016007F"/>
    <w:rsid w:val="00162232"/>
    <w:rsid w:val="00172A27"/>
    <w:rsid w:val="001741C0"/>
    <w:rsid w:val="00174BA1"/>
    <w:rsid w:val="00176D34"/>
    <w:rsid w:val="00177439"/>
    <w:rsid w:val="001A7BE4"/>
    <w:rsid w:val="001D6A02"/>
    <w:rsid w:val="001E30A5"/>
    <w:rsid w:val="001F0A50"/>
    <w:rsid w:val="001F6365"/>
    <w:rsid w:val="001F69E0"/>
    <w:rsid w:val="00204722"/>
    <w:rsid w:val="00210740"/>
    <w:rsid w:val="00216FAA"/>
    <w:rsid w:val="00221C68"/>
    <w:rsid w:val="00222274"/>
    <w:rsid w:val="00233313"/>
    <w:rsid w:val="00242ED6"/>
    <w:rsid w:val="00244FBD"/>
    <w:rsid w:val="00255778"/>
    <w:rsid w:val="00260112"/>
    <w:rsid w:val="002726D5"/>
    <w:rsid w:val="00274F87"/>
    <w:rsid w:val="00276AF3"/>
    <w:rsid w:val="00290AC7"/>
    <w:rsid w:val="00292591"/>
    <w:rsid w:val="002925CF"/>
    <w:rsid w:val="002934DE"/>
    <w:rsid w:val="00293F99"/>
    <w:rsid w:val="002A0534"/>
    <w:rsid w:val="002A076A"/>
    <w:rsid w:val="002A39BC"/>
    <w:rsid w:val="002A6047"/>
    <w:rsid w:val="002B37F9"/>
    <w:rsid w:val="002B5564"/>
    <w:rsid w:val="002D233C"/>
    <w:rsid w:val="002F33F8"/>
    <w:rsid w:val="00307CFD"/>
    <w:rsid w:val="0032739F"/>
    <w:rsid w:val="00331808"/>
    <w:rsid w:val="0033240C"/>
    <w:rsid w:val="0033499F"/>
    <w:rsid w:val="00342397"/>
    <w:rsid w:val="00343427"/>
    <w:rsid w:val="003434B0"/>
    <w:rsid w:val="00344778"/>
    <w:rsid w:val="00346C0E"/>
    <w:rsid w:val="00362ED4"/>
    <w:rsid w:val="00366112"/>
    <w:rsid w:val="00367868"/>
    <w:rsid w:val="003813BB"/>
    <w:rsid w:val="0038221C"/>
    <w:rsid w:val="00383158"/>
    <w:rsid w:val="00386D5E"/>
    <w:rsid w:val="00391AFB"/>
    <w:rsid w:val="003A062D"/>
    <w:rsid w:val="003A0816"/>
    <w:rsid w:val="003A263E"/>
    <w:rsid w:val="003A4194"/>
    <w:rsid w:val="003A5B18"/>
    <w:rsid w:val="003B79B2"/>
    <w:rsid w:val="003C495F"/>
    <w:rsid w:val="003C7DE2"/>
    <w:rsid w:val="003D0B4D"/>
    <w:rsid w:val="003E6392"/>
    <w:rsid w:val="003E6D23"/>
    <w:rsid w:val="003F0C7F"/>
    <w:rsid w:val="003F4CFD"/>
    <w:rsid w:val="0041586E"/>
    <w:rsid w:val="00415D9C"/>
    <w:rsid w:val="00427FB0"/>
    <w:rsid w:val="00433F23"/>
    <w:rsid w:val="00440776"/>
    <w:rsid w:val="00444FC4"/>
    <w:rsid w:val="004465AF"/>
    <w:rsid w:val="00454653"/>
    <w:rsid w:val="00470303"/>
    <w:rsid w:val="0047235B"/>
    <w:rsid w:val="00472887"/>
    <w:rsid w:val="00473EA7"/>
    <w:rsid w:val="004864E8"/>
    <w:rsid w:val="00490E11"/>
    <w:rsid w:val="0049761F"/>
    <w:rsid w:val="004B491B"/>
    <w:rsid w:val="004C021A"/>
    <w:rsid w:val="004C34D9"/>
    <w:rsid w:val="004C6208"/>
    <w:rsid w:val="004D017E"/>
    <w:rsid w:val="004E3399"/>
    <w:rsid w:val="004E647A"/>
    <w:rsid w:val="004F025B"/>
    <w:rsid w:val="004F27E2"/>
    <w:rsid w:val="004F4DD0"/>
    <w:rsid w:val="005025AC"/>
    <w:rsid w:val="00503D1D"/>
    <w:rsid w:val="00525B6E"/>
    <w:rsid w:val="00527283"/>
    <w:rsid w:val="00527C4A"/>
    <w:rsid w:val="005358F1"/>
    <w:rsid w:val="005379DE"/>
    <w:rsid w:val="005508D5"/>
    <w:rsid w:val="0055488A"/>
    <w:rsid w:val="00556ACC"/>
    <w:rsid w:val="00557282"/>
    <w:rsid w:val="00561ADC"/>
    <w:rsid w:val="00562C21"/>
    <w:rsid w:val="00566747"/>
    <w:rsid w:val="00574275"/>
    <w:rsid w:val="00595878"/>
    <w:rsid w:val="00596B66"/>
    <w:rsid w:val="0059765B"/>
    <w:rsid w:val="005A6896"/>
    <w:rsid w:val="005B30E6"/>
    <w:rsid w:val="005B6B54"/>
    <w:rsid w:val="005D0EB8"/>
    <w:rsid w:val="005D572F"/>
    <w:rsid w:val="005E53AD"/>
    <w:rsid w:val="005E7C5A"/>
    <w:rsid w:val="006008D1"/>
    <w:rsid w:val="0060090F"/>
    <w:rsid w:val="006049DC"/>
    <w:rsid w:val="00627F81"/>
    <w:rsid w:val="00630EFD"/>
    <w:rsid w:val="0063369A"/>
    <w:rsid w:val="00633AB6"/>
    <w:rsid w:val="00634D6F"/>
    <w:rsid w:val="00641AF4"/>
    <w:rsid w:val="00647190"/>
    <w:rsid w:val="006472CA"/>
    <w:rsid w:val="006543A0"/>
    <w:rsid w:val="00655463"/>
    <w:rsid w:val="00661B2E"/>
    <w:rsid w:val="006746A9"/>
    <w:rsid w:val="00695655"/>
    <w:rsid w:val="00696930"/>
    <w:rsid w:val="006A121C"/>
    <w:rsid w:val="006A3FFE"/>
    <w:rsid w:val="006A4278"/>
    <w:rsid w:val="006A566C"/>
    <w:rsid w:val="006B2F5A"/>
    <w:rsid w:val="006B3926"/>
    <w:rsid w:val="006B5F8D"/>
    <w:rsid w:val="006C15E4"/>
    <w:rsid w:val="006C323C"/>
    <w:rsid w:val="006C3610"/>
    <w:rsid w:val="006C54D4"/>
    <w:rsid w:val="006D488D"/>
    <w:rsid w:val="006D553F"/>
    <w:rsid w:val="006E4252"/>
    <w:rsid w:val="006F4E42"/>
    <w:rsid w:val="007101D1"/>
    <w:rsid w:val="0071447B"/>
    <w:rsid w:val="007158B3"/>
    <w:rsid w:val="00717FD8"/>
    <w:rsid w:val="00751634"/>
    <w:rsid w:val="00752DA6"/>
    <w:rsid w:val="00754C10"/>
    <w:rsid w:val="007636DC"/>
    <w:rsid w:val="007675DD"/>
    <w:rsid w:val="00775020"/>
    <w:rsid w:val="007A5DB4"/>
    <w:rsid w:val="007A7B06"/>
    <w:rsid w:val="007B45EF"/>
    <w:rsid w:val="007B4690"/>
    <w:rsid w:val="007B5000"/>
    <w:rsid w:val="007C3DF2"/>
    <w:rsid w:val="007D3FB1"/>
    <w:rsid w:val="00815823"/>
    <w:rsid w:val="00817346"/>
    <w:rsid w:val="00820A27"/>
    <w:rsid w:val="008309A5"/>
    <w:rsid w:val="0083148F"/>
    <w:rsid w:val="00836C00"/>
    <w:rsid w:val="00847A20"/>
    <w:rsid w:val="00856404"/>
    <w:rsid w:val="00863F60"/>
    <w:rsid w:val="00877470"/>
    <w:rsid w:val="00881ADD"/>
    <w:rsid w:val="00884A8A"/>
    <w:rsid w:val="008A3267"/>
    <w:rsid w:val="008A4479"/>
    <w:rsid w:val="008A45F1"/>
    <w:rsid w:val="008A652E"/>
    <w:rsid w:val="008B6B34"/>
    <w:rsid w:val="008B7806"/>
    <w:rsid w:val="00904CE6"/>
    <w:rsid w:val="00905C59"/>
    <w:rsid w:val="009105CF"/>
    <w:rsid w:val="00916ED2"/>
    <w:rsid w:val="009210C0"/>
    <w:rsid w:val="00921235"/>
    <w:rsid w:val="0092716F"/>
    <w:rsid w:val="0092773D"/>
    <w:rsid w:val="00930E0E"/>
    <w:rsid w:val="00936192"/>
    <w:rsid w:val="00943811"/>
    <w:rsid w:val="009525DE"/>
    <w:rsid w:val="009534CE"/>
    <w:rsid w:val="009544B6"/>
    <w:rsid w:val="009562D1"/>
    <w:rsid w:val="00962BE3"/>
    <w:rsid w:val="00965863"/>
    <w:rsid w:val="00967840"/>
    <w:rsid w:val="0097495E"/>
    <w:rsid w:val="00980657"/>
    <w:rsid w:val="009831DB"/>
    <w:rsid w:val="00996368"/>
    <w:rsid w:val="00996AEB"/>
    <w:rsid w:val="009B619F"/>
    <w:rsid w:val="009C1790"/>
    <w:rsid w:val="009D5415"/>
    <w:rsid w:val="009E7361"/>
    <w:rsid w:val="009E74C5"/>
    <w:rsid w:val="009F25B8"/>
    <w:rsid w:val="00A10770"/>
    <w:rsid w:val="00A10D9B"/>
    <w:rsid w:val="00A12136"/>
    <w:rsid w:val="00A17040"/>
    <w:rsid w:val="00A21827"/>
    <w:rsid w:val="00A25BEA"/>
    <w:rsid w:val="00A26424"/>
    <w:rsid w:val="00A27C94"/>
    <w:rsid w:val="00A32857"/>
    <w:rsid w:val="00A3358A"/>
    <w:rsid w:val="00A377CF"/>
    <w:rsid w:val="00A5268C"/>
    <w:rsid w:val="00A54F6F"/>
    <w:rsid w:val="00A61E28"/>
    <w:rsid w:val="00A621B9"/>
    <w:rsid w:val="00A65EAA"/>
    <w:rsid w:val="00A67DDC"/>
    <w:rsid w:val="00A904EB"/>
    <w:rsid w:val="00A93524"/>
    <w:rsid w:val="00AB2D06"/>
    <w:rsid w:val="00AB42F2"/>
    <w:rsid w:val="00AC210F"/>
    <w:rsid w:val="00AC44D1"/>
    <w:rsid w:val="00AD2EFE"/>
    <w:rsid w:val="00AF67A8"/>
    <w:rsid w:val="00B002B6"/>
    <w:rsid w:val="00B0120D"/>
    <w:rsid w:val="00B01508"/>
    <w:rsid w:val="00B116F8"/>
    <w:rsid w:val="00B20E1E"/>
    <w:rsid w:val="00B2663D"/>
    <w:rsid w:val="00B336A7"/>
    <w:rsid w:val="00B35A0A"/>
    <w:rsid w:val="00B405F2"/>
    <w:rsid w:val="00B61DB6"/>
    <w:rsid w:val="00B6216D"/>
    <w:rsid w:val="00B7008F"/>
    <w:rsid w:val="00B83BF5"/>
    <w:rsid w:val="00BB4F47"/>
    <w:rsid w:val="00BC2737"/>
    <w:rsid w:val="00BC5C40"/>
    <w:rsid w:val="00BD4FB4"/>
    <w:rsid w:val="00BF1F76"/>
    <w:rsid w:val="00BF5874"/>
    <w:rsid w:val="00C014C1"/>
    <w:rsid w:val="00C21014"/>
    <w:rsid w:val="00C2184B"/>
    <w:rsid w:val="00C25736"/>
    <w:rsid w:val="00C50F98"/>
    <w:rsid w:val="00C60F22"/>
    <w:rsid w:val="00C61319"/>
    <w:rsid w:val="00C622F9"/>
    <w:rsid w:val="00C67CBC"/>
    <w:rsid w:val="00C75968"/>
    <w:rsid w:val="00C827FB"/>
    <w:rsid w:val="00C82F94"/>
    <w:rsid w:val="00C83720"/>
    <w:rsid w:val="00C97BD9"/>
    <w:rsid w:val="00CA39EC"/>
    <w:rsid w:val="00CA4B5E"/>
    <w:rsid w:val="00CB3540"/>
    <w:rsid w:val="00CC4689"/>
    <w:rsid w:val="00CC73AB"/>
    <w:rsid w:val="00CE7962"/>
    <w:rsid w:val="00CF0B58"/>
    <w:rsid w:val="00CF0BCC"/>
    <w:rsid w:val="00CF551C"/>
    <w:rsid w:val="00D00E87"/>
    <w:rsid w:val="00D024E6"/>
    <w:rsid w:val="00D03CD4"/>
    <w:rsid w:val="00D07B9D"/>
    <w:rsid w:val="00D24C8B"/>
    <w:rsid w:val="00D25819"/>
    <w:rsid w:val="00D27331"/>
    <w:rsid w:val="00D30FF1"/>
    <w:rsid w:val="00D35217"/>
    <w:rsid w:val="00D41F8C"/>
    <w:rsid w:val="00D42990"/>
    <w:rsid w:val="00D469A3"/>
    <w:rsid w:val="00D47247"/>
    <w:rsid w:val="00D516A8"/>
    <w:rsid w:val="00D5184B"/>
    <w:rsid w:val="00D5513A"/>
    <w:rsid w:val="00D557C1"/>
    <w:rsid w:val="00D61302"/>
    <w:rsid w:val="00D64E36"/>
    <w:rsid w:val="00D65262"/>
    <w:rsid w:val="00D70978"/>
    <w:rsid w:val="00D7118E"/>
    <w:rsid w:val="00D75311"/>
    <w:rsid w:val="00D75F71"/>
    <w:rsid w:val="00D92B10"/>
    <w:rsid w:val="00D945AA"/>
    <w:rsid w:val="00D94989"/>
    <w:rsid w:val="00DB449F"/>
    <w:rsid w:val="00DC3E31"/>
    <w:rsid w:val="00DC4536"/>
    <w:rsid w:val="00DC62EB"/>
    <w:rsid w:val="00DD1AA7"/>
    <w:rsid w:val="00DD4F2F"/>
    <w:rsid w:val="00DD6B0F"/>
    <w:rsid w:val="00DD7C7F"/>
    <w:rsid w:val="00DE6519"/>
    <w:rsid w:val="00DF262D"/>
    <w:rsid w:val="00DF47E4"/>
    <w:rsid w:val="00E16E1A"/>
    <w:rsid w:val="00E271BE"/>
    <w:rsid w:val="00E27DB6"/>
    <w:rsid w:val="00E34E50"/>
    <w:rsid w:val="00E35D11"/>
    <w:rsid w:val="00E42ED7"/>
    <w:rsid w:val="00E43B39"/>
    <w:rsid w:val="00E522B1"/>
    <w:rsid w:val="00E559BA"/>
    <w:rsid w:val="00E57474"/>
    <w:rsid w:val="00E6292C"/>
    <w:rsid w:val="00E65855"/>
    <w:rsid w:val="00E74621"/>
    <w:rsid w:val="00E81852"/>
    <w:rsid w:val="00E85CFE"/>
    <w:rsid w:val="00E87737"/>
    <w:rsid w:val="00E97C20"/>
    <w:rsid w:val="00EA2193"/>
    <w:rsid w:val="00EA2645"/>
    <w:rsid w:val="00EC12E1"/>
    <w:rsid w:val="00EC1AE3"/>
    <w:rsid w:val="00ED2338"/>
    <w:rsid w:val="00ED5654"/>
    <w:rsid w:val="00EE118B"/>
    <w:rsid w:val="00EE1F20"/>
    <w:rsid w:val="00EE516D"/>
    <w:rsid w:val="00EE6544"/>
    <w:rsid w:val="00EF16BA"/>
    <w:rsid w:val="00EF2F7A"/>
    <w:rsid w:val="00EF4673"/>
    <w:rsid w:val="00EF53B1"/>
    <w:rsid w:val="00F00BC5"/>
    <w:rsid w:val="00F1092E"/>
    <w:rsid w:val="00F12556"/>
    <w:rsid w:val="00F137A7"/>
    <w:rsid w:val="00F2022E"/>
    <w:rsid w:val="00F24D2D"/>
    <w:rsid w:val="00F32025"/>
    <w:rsid w:val="00F36698"/>
    <w:rsid w:val="00F379C8"/>
    <w:rsid w:val="00F424E4"/>
    <w:rsid w:val="00F50CDF"/>
    <w:rsid w:val="00F812F1"/>
    <w:rsid w:val="00F8328B"/>
    <w:rsid w:val="00F863CE"/>
    <w:rsid w:val="00F9024E"/>
    <w:rsid w:val="00F918BC"/>
    <w:rsid w:val="00F96780"/>
    <w:rsid w:val="00FA07E5"/>
    <w:rsid w:val="00FA3A34"/>
    <w:rsid w:val="00FA483E"/>
    <w:rsid w:val="00FA6474"/>
    <w:rsid w:val="00FB20BC"/>
    <w:rsid w:val="00FB25F1"/>
    <w:rsid w:val="00FB3B45"/>
    <w:rsid w:val="00FC0EEE"/>
    <w:rsid w:val="00FD25E8"/>
    <w:rsid w:val="00FD3923"/>
    <w:rsid w:val="00FD6748"/>
    <w:rsid w:val="00FD77F7"/>
    <w:rsid w:val="00FE7F79"/>
    <w:rsid w:val="00FF383E"/>
    <w:rsid w:val="00FF3AF4"/>
    <w:rsid w:val="00FF56CE"/>
    <w:rsid w:val="00FF5FC7"/>
    <w:rsid w:val="37C51F7D"/>
    <w:rsid w:val="7AF3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_x0000_s1469"/>
        <o:r id="V:Rule2" type="connector" idref="#_x0000_s1472"/>
        <o:r id="V:Rule3" type="connector" idref="#_x0000_s147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0"/>
    <w:pPr>
      <w:keepNext/>
      <w:keepLines/>
      <w:spacing w:before="260" w:after="260" w:line="500" w:lineRule="exact"/>
      <w:outlineLvl w:val="1"/>
    </w:pPr>
    <w:rPr>
      <w:rFonts w:ascii="Arial" w:hAnsi="Arial"/>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style>
  <w:style w:type="paragraph" w:styleId="5">
    <w:name w:val="Balloon Text"/>
    <w:basedOn w:val="1"/>
    <w:link w:val="22"/>
    <w:semiHidden/>
    <w:unhideWhenUsed/>
    <w:uiPriority w:val="99"/>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uiPriority w:val="0"/>
  </w:style>
  <w:style w:type="character" w:customStyle="1" w:styleId="12">
    <w:name w:val="页脚 Char"/>
    <w:link w:val="6"/>
    <w:qFormat/>
    <w:uiPriority w:val="0"/>
    <w:rPr>
      <w:kern w:val="2"/>
      <w:sz w:val="18"/>
      <w:szCs w:val="18"/>
    </w:rPr>
  </w:style>
  <w:style w:type="character" w:customStyle="1" w:styleId="13">
    <w:name w:val="z-窗体底端 Char"/>
    <w:link w:val="14"/>
    <w:qFormat/>
    <w:uiPriority w:val="0"/>
    <w:rPr>
      <w:rFonts w:ascii="Arial" w:hAnsi="Arial" w:cs="Arial"/>
      <w:vanish/>
      <w:sz w:val="16"/>
      <w:szCs w:val="16"/>
    </w:rPr>
  </w:style>
  <w:style w:type="paragraph" w:customStyle="1" w:styleId="14">
    <w:name w:val="HTML Bottom of Form"/>
    <w:basedOn w:val="1"/>
    <w:next w:val="1"/>
    <w:link w:val="13"/>
    <w:qFormat/>
    <w:uiPriority w:val="0"/>
    <w:pPr>
      <w:widowControl/>
      <w:pBdr>
        <w:top w:val="single" w:color="auto" w:sz="6" w:space="1"/>
      </w:pBdr>
      <w:jc w:val="center"/>
    </w:pPr>
    <w:rPr>
      <w:rFonts w:ascii="Arial" w:hAnsi="Arial"/>
      <w:vanish/>
      <w:kern w:val="0"/>
      <w:sz w:val="16"/>
      <w:szCs w:val="16"/>
    </w:rPr>
  </w:style>
  <w:style w:type="character" w:customStyle="1" w:styleId="15">
    <w:name w:val="标题 2 Char Char"/>
    <w:basedOn w:val="10"/>
    <w:qFormat/>
    <w:uiPriority w:val="0"/>
    <w:rPr>
      <w:rFonts w:ascii="Arial" w:hAnsi="Arial" w:eastAsia="宋体"/>
      <w:b/>
      <w:bCs/>
      <w:kern w:val="2"/>
      <w:sz w:val="24"/>
      <w:szCs w:val="32"/>
      <w:lang w:val="en-US" w:eastAsia="zh-CN" w:bidi="ar-SA"/>
    </w:rPr>
  </w:style>
  <w:style w:type="character" w:customStyle="1" w:styleId="16">
    <w:name w:val="z-窗体顶端 Char"/>
    <w:link w:val="17"/>
    <w:qFormat/>
    <w:uiPriority w:val="0"/>
    <w:rPr>
      <w:rFonts w:ascii="Arial" w:hAnsi="Arial" w:cs="Arial"/>
      <w:vanish/>
      <w:sz w:val="16"/>
      <w:szCs w:val="16"/>
    </w:rPr>
  </w:style>
  <w:style w:type="paragraph" w:customStyle="1" w:styleId="17">
    <w:name w:val="HTML Top of Form"/>
    <w:basedOn w:val="1"/>
    <w:next w:val="1"/>
    <w:link w:val="16"/>
    <w:qFormat/>
    <w:uiPriority w:val="0"/>
    <w:pPr>
      <w:widowControl/>
      <w:pBdr>
        <w:bottom w:val="single" w:color="auto" w:sz="6" w:space="1"/>
      </w:pBdr>
      <w:jc w:val="center"/>
    </w:pPr>
    <w:rPr>
      <w:rFonts w:ascii="Arial" w:hAnsi="Arial"/>
      <w:vanish/>
      <w:kern w:val="0"/>
      <w:sz w:val="16"/>
      <w:szCs w:val="16"/>
    </w:rPr>
  </w:style>
  <w:style w:type="character" w:customStyle="1" w:styleId="18">
    <w:name w:val="标题 2 Char"/>
    <w:basedOn w:val="10"/>
    <w:link w:val="2"/>
    <w:qFormat/>
    <w:uiPriority w:val="0"/>
    <w:rPr>
      <w:rFonts w:ascii="Arial" w:hAnsi="Arial" w:eastAsia="宋体"/>
      <w:b/>
      <w:bCs/>
      <w:kern w:val="2"/>
      <w:sz w:val="24"/>
      <w:szCs w:val="32"/>
      <w:lang w:val="en-US" w:eastAsia="zh-CN" w:bidi="ar-SA"/>
    </w:rPr>
  </w:style>
  <w:style w:type="character" w:customStyle="1" w:styleId="19">
    <w:name w:val="页眉 Char"/>
    <w:link w:val="7"/>
    <w:qFormat/>
    <w:uiPriority w:val="0"/>
    <w:rPr>
      <w:kern w:val="2"/>
      <w:sz w:val="18"/>
      <w:szCs w:val="18"/>
    </w:rPr>
  </w:style>
  <w:style w:type="paragraph" w:customStyle="1" w:styleId="20">
    <w:name w:val="_Style 10"/>
    <w:basedOn w:val="1"/>
    <w:qFormat/>
    <w:uiPriority w:val="0"/>
    <w:pPr>
      <w:spacing w:before="100" w:beforeAutospacing="1" w:after="100" w:afterAutospacing="1"/>
    </w:pPr>
    <w:rPr>
      <w:szCs w:val="20"/>
    </w:rPr>
  </w:style>
  <w:style w:type="paragraph" w:customStyle="1" w:styleId="21">
    <w:name w:val="Char"/>
    <w:basedOn w:val="1"/>
    <w:uiPriority w:val="0"/>
    <w:pPr>
      <w:spacing w:before="100" w:beforeAutospacing="1" w:after="100" w:afterAutospacing="1"/>
    </w:pPr>
    <w:rPr>
      <w:szCs w:val="20"/>
    </w:rPr>
  </w:style>
  <w:style w:type="character" w:customStyle="1" w:styleId="22">
    <w:name w:val="批注框文本 Char"/>
    <w:basedOn w:val="10"/>
    <w:link w:val="5"/>
    <w:semiHidden/>
    <w:uiPriority w:val="99"/>
    <w:rPr>
      <w:kern w:val="2"/>
      <w:sz w:val="18"/>
      <w:szCs w:val="18"/>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E6256-C756-47D7-A9C3-73B0EE2B063A}">
  <ds:schemaRefs/>
</ds:datastoreItem>
</file>

<file path=docProps/app.xml><?xml version="1.0" encoding="utf-8"?>
<Properties xmlns="http://schemas.openxmlformats.org/officeDocument/2006/extended-properties" xmlns:vt="http://schemas.openxmlformats.org/officeDocument/2006/docPropsVTypes">
  <Template>Normal</Template>
  <Company>天津荣程</Company>
  <Pages>5</Pages>
  <Words>348</Words>
  <Characters>1990</Characters>
  <Lines>16</Lines>
  <Paragraphs>4</Paragraphs>
  <TotalTime>5</TotalTime>
  <ScaleCrop>false</ScaleCrop>
  <LinksUpToDate>false</LinksUpToDate>
  <CharactersWithSpaces>2334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2016-11-19T02:16:00Z</dcterms:created>
  <dc:creator>天津荣程</dc:creator>
  <cp:lastModifiedBy>^O^珏</cp:lastModifiedBy>
  <dcterms:modified xsi:type="dcterms:W3CDTF">2020-01-15T08:21:08Z</dcterms:modified>
  <dc:title>荣程集团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