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sz w:val="20"/>
          <w:szCs w:val="20"/>
        </w:rPr>
        <w:t>66.在安全生产责任制中，对本单位安全卫生负有直接责任的是（）。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A.企业员工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B.企业法定代表人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C.总工程师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D.分管安全卫生的负责人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答案：D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67.中层管理人员培训一般是由（）规划并组织实施。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A.高校及培训机构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B.企业内部培训中心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C.企业技术主管部门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D.企业的基层单位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68.PDCA循环法中的“C”是指（）。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A.检查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B.计划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C.执行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D.处理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答案：A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69.关于专业公司薪酬数据的表述，不正确的是（）。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A.既注重薪酬水平，又注重趋势分析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B.不仅关注薪酬水平，还调查其他薪酬形式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C.调查的范围比较集中，区域性较强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D.数据统计的方法先进科学、精细完整准确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答案：D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70.采用（）所获得的考评结果可用于决定一些非激励性的工资待遇。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A.平均标准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B.先进标准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C.基本标准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D.落后标准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答案：C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71.关于人力资源需求预测方法的表述，不正确的是（）。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A.设备看管定额定员法是按劳动效率定员方法的一种特殊形式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B.计算机模拟法是比较简单的人力资源需求预测方法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C.劳动定额分析法按照工作任务总量和劳动定额确定生产人员需求量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D.比例定员法根据不同类别岗位人员比例依存关系进行人员需求预测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72.（）是人员规划活动的落脚点和归宿。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A.人员供求达到协调平衡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B.人力资源需求预测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C.人力资源供给预测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D.人力资源系统设计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答案：A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73.关于劳动争议的表述，正确的是（）。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A.只有存在劳动关系的情况下才会发生利益争议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B.是否遵循法律规范和合同规范是利益争议的实质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C.利益争议通常是因签订、变更劳动合同所引起的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D.不存在劳动关系的劳动者可以成为劳动争议的当事人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答案：A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74.企业制度化管理的特点，不包括（）。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A.适合于现代大型企业组织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B.以非正式授权为主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C.实现了个人与权力相分离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D.是理性精神合理化的具体体现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答案：B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75.一个（）就相当于一种专门职业。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A.职系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B.职等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C.职组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D.职门</w:t>
      </w:r>
    </w:p>
    <w:p>
      <w:p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答案：A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</w:rPr>
      <w:t xml:space="preserve">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E3DD1"/>
    <w:rsid w:val="42DE79D2"/>
    <w:rsid w:val="5D7B3BB4"/>
    <w:rsid w:val="731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2019-05-23T09:37:00Z</dcterms:created>
  <dc:creator>Administrator</dc:creator>
  <cp:lastModifiedBy>^O^珏</cp:lastModifiedBy>
  <dcterms:modified xsi:type="dcterms:W3CDTF">2019-09-28T08:11:49Z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