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rPr>
      </w:pPr>
      <w:r>
        <w:rPr>
          <w:rFonts w:hint="eastAsia" w:ascii="微软雅黑" w:hAnsi="微软雅黑" w:eastAsia="微软雅黑" w:cs="微软雅黑"/>
        </w:rPr>
        <w:t>一、报名流程：</w:t>
      </w:r>
    </w:p>
    <w:p>
      <w:pPr>
        <w:rPr>
          <w:rFonts w:hint="eastAsia" w:ascii="微软雅黑" w:hAnsi="微软雅黑" w:eastAsia="微软雅黑" w:cs="微软雅黑"/>
        </w:rPr>
      </w:pPr>
      <w:r>
        <w:rPr>
          <w:rFonts w:hint="eastAsia" w:ascii="微软雅黑" w:hAnsi="微软雅黑" w:eastAsia="微软雅黑" w:cs="微软雅黑"/>
        </w:rPr>
        <w:t>1、在各省（直辖市）、地级市职业技能鉴定中心网站或代理培训机构报名；</w:t>
      </w:r>
    </w:p>
    <w:p>
      <w:pPr>
        <w:rPr>
          <w:rFonts w:hint="eastAsia" w:ascii="微软雅黑" w:hAnsi="微软雅黑" w:eastAsia="微软雅黑" w:cs="微软雅黑"/>
        </w:rPr>
      </w:pPr>
      <w:r>
        <w:rPr>
          <w:rFonts w:hint="eastAsia" w:ascii="微软雅黑" w:hAnsi="微软雅黑" w:eastAsia="微软雅黑" w:cs="微软雅黑"/>
        </w:rPr>
        <w:t>2、由各省（直辖市）职业技能鉴定中心审核报名条件；</w:t>
      </w:r>
    </w:p>
    <w:p>
      <w:pPr>
        <w:rPr>
          <w:rFonts w:hint="eastAsia" w:ascii="微软雅黑" w:hAnsi="微软雅黑" w:eastAsia="微软雅黑" w:cs="微软雅黑"/>
        </w:rPr>
      </w:pPr>
      <w:r>
        <w:rPr>
          <w:rFonts w:hint="eastAsia" w:ascii="微软雅黑" w:hAnsi="微软雅黑" w:eastAsia="微软雅黑" w:cs="微软雅黑"/>
        </w:rPr>
        <w:t>3、审核通过后，交考试费用，缴齐费用后领取准考证；</w:t>
      </w:r>
    </w:p>
    <w:p>
      <w:pPr>
        <w:rPr>
          <w:rFonts w:hint="eastAsia" w:ascii="微软雅黑" w:hAnsi="微软雅黑" w:eastAsia="微软雅黑" w:cs="微软雅黑"/>
        </w:rPr>
      </w:pPr>
      <w:r>
        <w:rPr>
          <w:rFonts w:hint="eastAsia" w:ascii="微软雅黑" w:hAnsi="微软雅黑" w:eastAsia="微软雅黑" w:cs="微软雅黑"/>
        </w:rPr>
        <w:t>4、参加全国统一考试，考场由各省（直辖市）职业鉴定中心组织统一安排，一般在考前两周出考场安排；</w:t>
      </w:r>
    </w:p>
    <w:p>
      <w:pPr>
        <w:rPr>
          <w:rFonts w:hint="eastAsia" w:ascii="微软雅黑" w:hAnsi="微软雅黑" w:eastAsia="微软雅黑" w:cs="微软雅黑"/>
        </w:rPr>
      </w:pPr>
      <w:r>
        <w:rPr>
          <w:rFonts w:hint="eastAsia" w:ascii="微软雅黑" w:hAnsi="微软雅黑" w:eastAsia="微软雅黑" w:cs="微软雅黑"/>
        </w:rPr>
        <w:t>5、考试结束后，约3~4个月后通知考试结果并发放证书（未通过者可以参加补考）。</w:t>
      </w: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rPr>
        <w:t>二、报名攻略：</w:t>
      </w:r>
    </w:p>
    <w:p>
      <w:pPr>
        <w:rPr>
          <w:rFonts w:hint="eastAsia" w:ascii="微软雅黑" w:hAnsi="微软雅黑" w:eastAsia="微软雅黑" w:cs="微软雅黑"/>
        </w:rPr>
      </w:pPr>
      <w:r>
        <w:rPr>
          <w:rFonts w:hint="eastAsia" w:ascii="微软雅黑" w:hAnsi="微软雅黑" w:eastAsia="微软雅黑" w:cs="微软雅黑"/>
        </w:rPr>
        <w:t>全国30省最全报考攻略！各地报考条件、报名网址、报考时间、综合评审形式，应有尽有~~赶快找到自己的省份查看吧:</w:t>
      </w:r>
    </w:p>
    <w:p>
      <w:pPr>
        <w:rPr>
          <w:rFonts w:hint="eastAsia" w:ascii="微软雅黑" w:hAnsi="微软雅黑" w:eastAsia="微软雅黑" w:cs="微软雅黑"/>
        </w:rPr>
      </w:pPr>
      <w:r>
        <w:rPr>
          <w:rFonts w:hint="eastAsia" w:ascii="微软雅黑" w:hAnsi="微软雅黑" w:eastAsia="微软雅黑" w:cs="微软雅黑"/>
        </w:rPr>
        <w:t>无上海地区报考攻略，因上海不同全国统考，为独立命题，请自行查看上海市职业技能鉴定中心网站。</w:t>
      </w:r>
    </w:p>
    <w:tbl>
      <w:tblPr>
        <w:tblStyle w:val="6"/>
        <w:tblpPr w:leftFromText="180" w:rightFromText="180" w:vertAnchor="text" w:horzAnchor="page" w:tblpX="1857" w:tblpY="1474"/>
        <w:tblOverlap w:val="never"/>
        <w:tblW w:w="8081" w:type="dxa"/>
        <w:tblInd w:w="0" w:type="dxa"/>
        <w:shd w:val="clear" w:color="auto" w:fill="FFFFFF"/>
        <w:tblLayout w:type="fixed"/>
        <w:tblCellMar>
          <w:top w:w="0" w:type="dxa"/>
          <w:left w:w="0" w:type="dxa"/>
          <w:bottom w:w="0" w:type="dxa"/>
          <w:right w:w="0" w:type="dxa"/>
        </w:tblCellMar>
      </w:tblPr>
      <w:tblGrid>
        <w:gridCol w:w="801"/>
        <w:gridCol w:w="1050"/>
        <w:gridCol w:w="1839"/>
        <w:gridCol w:w="1068"/>
        <w:gridCol w:w="1190"/>
        <w:gridCol w:w="2133"/>
      </w:tblGrid>
      <w:tr>
        <w:tblPrEx>
          <w:shd w:val="clear" w:color="auto" w:fill="FFFFFF"/>
          <w:tblLayout w:type="fixed"/>
          <w:tblCellMar>
            <w:top w:w="0" w:type="dxa"/>
            <w:left w:w="0" w:type="dxa"/>
            <w:bottom w:w="0" w:type="dxa"/>
            <w:right w:w="0" w:type="dxa"/>
          </w:tblCellMar>
        </w:tblPrEx>
        <w:trPr>
          <w:trHeight w:val="900" w:hRule="atLeast"/>
        </w:trPr>
        <w:tc>
          <w:tcPr>
            <w:tcW w:w="801"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sz w:val="22"/>
                <w:szCs w:val="22"/>
              </w:rPr>
            </w:pPr>
            <w:r>
              <w:rPr>
                <w:rFonts w:ascii="微软雅黑" w:hAnsi="微软雅黑" w:eastAsia="微软雅黑" w:cs="微软雅黑"/>
                <w:i w:val="0"/>
                <w:caps w:val="0"/>
                <w:color w:val="333333"/>
                <w:spacing w:val="0"/>
                <w:sz w:val="22"/>
                <w:szCs w:val="22"/>
              </w:rPr>
              <w:t>区域</w:t>
            </w:r>
          </w:p>
        </w:tc>
        <w:tc>
          <w:tcPr>
            <w:tcW w:w="1050"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省份</w:t>
            </w:r>
          </w:p>
        </w:tc>
        <w:tc>
          <w:tcPr>
            <w:tcW w:w="1839"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报名流程汇总</w:t>
            </w:r>
          </w:p>
        </w:tc>
        <w:tc>
          <w:tcPr>
            <w:tcW w:w="1068"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区域</w:t>
            </w:r>
          </w:p>
        </w:tc>
        <w:tc>
          <w:tcPr>
            <w:tcW w:w="1190"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省份</w:t>
            </w:r>
          </w:p>
        </w:tc>
        <w:tc>
          <w:tcPr>
            <w:tcW w:w="2133"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3360"/>
              </w:tabs>
              <w:spacing w:before="0" w:beforeAutospacing="0" w:after="0" w:afterAutospacing="0" w:line="90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报名流程汇总</w:t>
            </w:r>
          </w:p>
        </w:tc>
      </w:tr>
      <w:tr>
        <w:tblPrEx>
          <w:tblLayout w:type="fixed"/>
          <w:tblCellMar>
            <w:top w:w="0" w:type="dxa"/>
            <w:left w:w="0" w:type="dxa"/>
            <w:bottom w:w="0" w:type="dxa"/>
            <w:right w:w="0" w:type="dxa"/>
          </w:tblCellMar>
        </w:tblPrEx>
        <w:trPr>
          <w:trHeight w:val="480" w:hRule="atLeast"/>
        </w:trPr>
        <w:tc>
          <w:tcPr>
            <w:tcW w:w="801"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华东</w:t>
            </w: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江苏</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"http://www.hrloo.com/rz/13886954.html"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4"/>
                <w:rFonts w:hint="eastAsia" w:ascii="微软雅黑" w:hAnsi="微软雅黑" w:eastAsia="微软雅黑" w:cs="微软雅黑"/>
                <w:i w:val="0"/>
                <w:caps w:val="0"/>
                <w:color w:val="0066AA"/>
                <w:spacing w:val="0"/>
                <w:sz w:val="22"/>
                <w:szCs w:val="22"/>
                <w:u w:val="none"/>
              </w:rPr>
              <w:t>查看报</w:t>
            </w:r>
            <w:bookmarkStart w:id="0" w:name="_GoBack"/>
            <w:bookmarkEnd w:id="0"/>
            <w:r>
              <w:rPr>
                <w:rStyle w:val="4"/>
                <w:rFonts w:hint="eastAsia" w:ascii="微软雅黑" w:hAnsi="微软雅黑" w:eastAsia="微软雅黑" w:cs="微软雅黑"/>
                <w:i w:val="0"/>
                <w:caps w:val="0"/>
                <w:color w:val="0066AA"/>
                <w:spacing w:val="0"/>
                <w:sz w:val="22"/>
                <w:szCs w:val="22"/>
                <w:u w:val="none"/>
              </w:rPr>
              <w:t>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华中</w:t>
            </w: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湖北</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"http://www.hrloo.com/rz/13888002.html"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浙江</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"http://www.hrloo.com/rz/13886964.html"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湖南</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"http://www.hrloo.com/rz/13890634.html"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安徽</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"http://www.hrloo.com/rz/13886974.html"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西南</w:t>
            </w: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四川</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"http://www.hrloo.com/rz/13888060.html"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shd w:val="clear" w:color="auto" w:fill="FFFFFF"/>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江西</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"http://www.hrloo.com/rz/13887840.html"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重庆</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"http://www.hrloo.com/rz/13887972.html"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shd w:val="clear" w:color="auto" w:fill="FFFFFF"/>
          <w:tblLayout w:type="fixed"/>
          <w:tblCellMar>
            <w:top w:w="0" w:type="dxa"/>
            <w:left w:w="0" w:type="dxa"/>
            <w:bottom w:w="0" w:type="dxa"/>
            <w:right w:w="0" w:type="dxa"/>
          </w:tblCellMar>
        </w:tblPrEx>
        <w:trPr>
          <w:trHeight w:val="480" w:hRule="atLeast"/>
        </w:trPr>
        <w:tc>
          <w:tcPr>
            <w:tcW w:w="801"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华南</w:t>
            </w: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广东</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"http://www.hrloo.com/rz/13888034.html"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贵州</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"http://www.hrloo.com/rz/13888926.html"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福建</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"http://www.hrloo.com/rz/13887036.html"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云南</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"http://www.hrloo.com/rz/13888994.html"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shd w:val="clear" w:color="auto" w:fill="FFFFFF"/>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广西</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"http://www.hrloo.com/rz/13887954.html"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西藏</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"http://www.hrloo.com/rz/13887988.html"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海南</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"http://www.hrloo.com/rz/13888058.html"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东北</w:t>
            </w: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辽宁</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"http://www.hrloo.com/rz/13886900.html"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tblLayout w:type="fixed"/>
          <w:tblCellMar>
            <w:top w:w="0" w:type="dxa"/>
            <w:left w:w="0" w:type="dxa"/>
            <w:bottom w:w="0" w:type="dxa"/>
            <w:right w:w="0" w:type="dxa"/>
          </w:tblCellMar>
        </w:tblPrEx>
        <w:trPr>
          <w:trHeight w:val="480" w:hRule="atLeast"/>
        </w:trPr>
        <w:tc>
          <w:tcPr>
            <w:tcW w:w="801"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华北</w:t>
            </w: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北京</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"http://www.hrloo.com/rz/13886596.html"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吉林</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"http://www.hrloo.com/rz/13886916.html"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shd w:val="clear" w:color="auto" w:fill="FFFFFF"/>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天津</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"http://www.hrloo.com/rz/13886696.html"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黑龙江</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"http://www.hrloo.com/rz/13886940.html"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shd w:val="clear" w:color="auto" w:fill="FFFFFF"/>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河北</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"http://www.hrloo.com/rz/13886852.html"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西北</w:t>
            </w: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陕西</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"http://www.hrloo.com/rz/13889006.html"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山东</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"http://www.hrloo.com/rz/13887884.html"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甘肃</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"http://www.hrloo.com/rz/13889072.html"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shd w:val="clear" w:color="auto" w:fill="FFFFFF"/>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河南</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"http://www.hrloo.com/rz/13887908.html"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宁夏</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"http://www.hrloo.com/rz/13888010.html"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山西</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"http://www.hrloo.com/rz/13886866.html"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青海</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"http://www.hrloo.com/rz/13888000.html"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r>
        <w:tblPrEx>
          <w:shd w:val="clear" w:color="auto" w:fill="FFFFFF"/>
          <w:tblLayout w:type="fixed"/>
          <w:tblCellMar>
            <w:top w:w="0" w:type="dxa"/>
            <w:left w:w="0" w:type="dxa"/>
            <w:bottom w:w="0" w:type="dxa"/>
            <w:right w:w="0" w:type="dxa"/>
          </w:tblCellMar>
        </w:tblPrEx>
        <w:trPr>
          <w:trHeight w:val="480" w:hRule="atLeast"/>
        </w:trPr>
        <w:tc>
          <w:tcPr>
            <w:tcW w:w="80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05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内蒙古</w:t>
            </w:r>
          </w:p>
        </w:tc>
        <w:tc>
          <w:tcPr>
            <w:tcW w:w="1839"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"http://www.hrloo.com/rz/13886884.html"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c>
          <w:tcPr>
            <w:tcW w:w="106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190"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rPr>
              <w:t>新疆</w:t>
            </w:r>
          </w:p>
        </w:tc>
        <w:tc>
          <w:tcPr>
            <w:tcW w:w="2133" w:type="dxa"/>
            <w:tcBorders>
              <w:top w:val="single" w:color="B5B5B5" w:sz="6" w:space="0"/>
              <w:left w:val="single" w:color="B5B5B5" w:sz="6" w:space="0"/>
              <w:bottom w:val="single" w:color="B5B5B5" w:sz="6" w:space="0"/>
              <w:right w:val="single" w:color="B5B5B5" w:sz="6" w:space="0"/>
            </w:tcBorders>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0066AA"/>
                <w:spacing w:val="0"/>
                <w:kern w:val="0"/>
                <w:sz w:val="22"/>
                <w:szCs w:val="22"/>
                <w:u w:val="none"/>
                <w:lang w:val="en-US" w:eastAsia="zh-CN" w:bidi="ar"/>
              </w:rPr>
              <w:fldChar w:fldCharType="begin"/>
            </w:r>
            <w:r>
              <w:rPr>
                <w:rFonts w:hint="eastAsia" w:ascii="微软雅黑" w:hAnsi="微软雅黑" w:eastAsia="微软雅黑" w:cs="微软雅黑"/>
                <w:i w:val="0"/>
                <w:caps w:val="0"/>
                <w:color w:val="0066AA"/>
                <w:spacing w:val="0"/>
                <w:kern w:val="0"/>
                <w:sz w:val="22"/>
                <w:szCs w:val="22"/>
                <w:u w:val="none"/>
                <w:lang w:val="en-US" w:eastAsia="zh-CN" w:bidi="ar"/>
              </w:rPr>
              <w:instrText xml:space="preserve"> HYPERLINK "http://www.hrloo.com/rz/13889078.html" \t "http://www.hrloo.com/_blank" </w:instrText>
            </w:r>
            <w:r>
              <w:rPr>
                <w:rFonts w:hint="eastAsia" w:ascii="微软雅黑" w:hAnsi="微软雅黑" w:eastAsia="微软雅黑" w:cs="微软雅黑"/>
                <w:i w:val="0"/>
                <w:caps w:val="0"/>
                <w:color w:val="0066AA"/>
                <w:spacing w:val="0"/>
                <w:kern w:val="0"/>
                <w:sz w:val="22"/>
                <w:szCs w:val="22"/>
                <w:u w:val="none"/>
                <w:lang w:val="en-US" w:eastAsia="zh-CN" w:bidi="ar"/>
              </w:rPr>
              <w:fldChar w:fldCharType="separate"/>
            </w:r>
            <w:r>
              <w:rPr>
                <w:rStyle w:val="5"/>
                <w:rFonts w:hint="eastAsia" w:ascii="微软雅黑" w:hAnsi="微软雅黑" w:eastAsia="微软雅黑" w:cs="微软雅黑"/>
                <w:i w:val="0"/>
                <w:caps w:val="0"/>
                <w:color w:val="0066AA"/>
                <w:spacing w:val="0"/>
                <w:sz w:val="22"/>
                <w:szCs w:val="22"/>
                <w:u w:val="none"/>
              </w:rPr>
              <w:t>查看报名攻略</w:t>
            </w:r>
            <w:r>
              <w:rPr>
                <w:rFonts w:hint="eastAsia" w:ascii="微软雅黑" w:hAnsi="微软雅黑" w:eastAsia="微软雅黑" w:cs="微软雅黑"/>
                <w:i w:val="0"/>
                <w:caps w:val="0"/>
                <w:color w:val="0066AA"/>
                <w:spacing w:val="0"/>
                <w:kern w:val="0"/>
                <w:sz w:val="22"/>
                <w:szCs w:val="22"/>
                <w:u w:val="none"/>
                <w:lang w:val="en-US" w:eastAsia="zh-CN" w:bidi="ar"/>
              </w:rPr>
              <w:fldChar w:fldCharType="end"/>
            </w:r>
          </w:p>
        </w:tc>
      </w:tr>
    </w:tbl>
    <w:p>
      <w:pPr>
        <w:rPr>
          <w:rFonts w:hint="eastAsia" w:ascii="微软雅黑" w:hAnsi="微软雅黑" w:eastAsia="微软雅黑" w:cs="微软雅黑"/>
        </w:rPr>
      </w:pPr>
      <w:r>
        <w:rPr>
          <w:rFonts w:hint="eastAsia" w:ascii="微软雅黑" w:hAnsi="微软雅黑" w:eastAsia="微软雅黑" w:cs="微软雅黑"/>
        </w:rPr>
        <w:t>（PS：由于资源有限，不能亲临各地实地考察，这些流程可能会有疏漏，考证君十分、十分、十分的欢迎各位实际考过的同学，指出考证君的错误，也为其它要考证的同学提供有益的参考。）</w:t>
      </w: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rPr>
        <w:t>三、考试介绍：</w:t>
      </w:r>
    </w:p>
    <w:p>
      <w:pPr>
        <w:rPr>
          <w:rFonts w:hint="eastAsia" w:ascii="微软雅黑" w:hAnsi="微软雅黑" w:eastAsia="微软雅黑" w:cs="微软雅黑"/>
        </w:rPr>
      </w:pPr>
      <w:r>
        <w:rPr>
          <w:rFonts w:hint="eastAsia" w:ascii="微软雅黑" w:hAnsi="微软雅黑" w:eastAsia="微软雅黑" w:cs="微软雅黑"/>
        </w:rPr>
        <w:t>一、人力资源考试简介：</w:t>
      </w:r>
    </w:p>
    <w:p>
      <w:pPr>
        <w:rPr>
          <w:rFonts w:hint="eastAsia" w:ascii="微软雅黑" w:hAnsi="微软雅黑" w:eastAsia="微软雅黑" w:cs="微软雅黑"/>
        </w:rPr>
      </w:pPr>
      <w:r>
        <w:rPr>
          <w:rFonts w:hint="eastAsia" w:ascii="微软雅黑" w:hAnsi="微软雅黑" w:eastAsia="微软雅黑" w:cs="微软雅黑"/>
        </w:rPr>
        <w:t>企业人力资源管理资格考试是由国家劳动部统一组织的全国统一考试。 考试合格后由人力资源与社会保障部颁发相应等级的职业资格证书。按照国家职业标准分为人力资源管理员（国家职业资格四级）、助理人力资源管理师（国家职业资格三级）、人力资源管理师（国家职业资格二级）、高级人力资源师（国家职业资格一级）</w:t>
      </w: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rPr>
        <w:t>二、考试程序：</w:t>
      </w:r>
    </w:p>
    <w:p>
      <w:pPr>
        <w:rPr>
          <w:rFonts w:hint="eastAsia" w:ascii="微软雅黑" w:hAnsi="微软雅黑" w:eastAsia="微软雅黑" w:cs="微软雅黑"/>
        </w:rPr>
      </w:pPr>
      <w:r>
        <w:rPr>
          <w:rFonts w:hint="eastAsia" w:ascii="微软雅黑" w:hAnsi="微软雅黑" w:eastAsia="微软雅黑" w:cs="微软雅黑"/>
        </w:rPr>
        <w:t>1、在各省（直辖市）、地级市职业技能鉴定中心或代理机构报名</w:t>
      </w:r>
    </w:p>
    <w:p>
      <w:pPr>
        <w:rPr>
          <w:rFonts w:hint="eastAsia" w:ascii="微软雅黑" w:hAnsi="微软雅黑" w:eastAsia="微软雅黑" w:cs="微软雅黑"/>
        </w:rPr>
      </w:pPr>
      <w:r>
        <w:rPr>
          <w:rFonts w:hint="eastAsia" w:ascii="微软雅黑" w:hAnsi="微软雅黑" w:eastAsia="微软雅黑" w:cs="微软雅黑"/>
        </w:rPr>
        <w:t>2、由各省（直辖市）职业技能鉴定中心审核报名条件</w:t>
      </w:r>
    </w:p>
    <w:p>
      <w:pPr>
        <w:rPr>
          <w:rFonts w:hint="eastAsia" w:ascii="微软雅黑" w:hAnsi="微软雅黑" w:eastAsia="微软雅黑" w:cs="微软雅黑"/>
        </w:rPr>
      </w:pPr>
      <w:r>
        <w:rPr>
          <w:rFonts w:hint="eastAsia" w:ascii="微软雅黑" w:hAnsi="微软雅黑" w:eastAsia="微软雅黑" w:cs="微软雅黑"/>
        </w:rPr>
        <w:t>3、审核通过后，交考试费用，缴齐费用后领取准考证</w:t>
      </w:r>
    </w:p>
    <w:p>
      <w:pPr>
        <w:rPr>
          <w:rFonts w:hint="eastAsia" w:ascii="微软雅黑" w:hAnsi="微软雅黑" w:eastAsia="微软雅黑" w:cs="微软雅黑"/>
        </w:rPr>
      </w:pPr>
      <w:r>
        <w:rPr>
          <w:rFonts w:hint="eastAsia" w:ascii="微软雅黑" w:hAnsi="微软雅黑" w:eastAsia="微软雅黑" w:cs="微软雅黑"/>
        </w:rPr>
        <w:t>4、参加全国统一考试，考场由各省（直辖市）职业鉴定中心组织安排</w:t>
      </w:r>
    </w:p>
    <w:p>
      <w:pPr>
        <w:rPr>
          <w:rFonts w:hint="eastAsia" w:ascii="微软雅黑" w:hAnsi="微软雅黑" w:eastAsia="微软雅黑" w:cs="微软雅黑"/>
        </w:rPr>
      </w:pPr>
      <w:r>
        <w:rPr>
          <w:rFonts w:hint="eastAsia" w:ascii="微软雅黑" w:hAnsi="微软雅黑" w:eastAsia="微软雅黑" w:cs="微软雅黑"/>
        </w:rPr>
        <w:t>5、考试结束后，约3~4个月后通知考试结果并发放证书（未通过者可以参加补考）</w:t>
      </w: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rPr>
        <w:t>三、考试时间：</w:t>
      </w:r>
    </w:p>
    <w:p>
      <w:pPr>
        <w:rPr>
          <w:rFonts w:hint="eastAsia" w:ascii="微软雅黑" w:hAnsi="微软雅黑" w:eastAsia="微软雅黑" w:cs="微软雅黑"/>
        </w:rPr>
      </w:pPr>
      <w:r>
        <w:rPr>
          <w:rFonts w:hint="eastAsia" w:ascii="微软雅黑" w:hAnsi="微软雅黑" w:eastAsia="微软雅黑" w:cs="微软雅黑"/>
        </w:rPr>
        <w:t>1、该考试每年进行两次，第一次在该年的5月中旬，第二次在11月中旬，补考时间与正常考试时间相同。</w:t>
      </w:r>
    </w:p>
    <w:p>
      <w:pPr>
        <w:rPr>
          <w:rFonts w:hint="eastAsia" w:ascii="微软雅黑" w:hAnsi="微软雅黑" w:eastAsia="微软雅黑" w:cs="微软雅黑"/>
        </w:rPr>
      </w:pPr>
      <w:r>
        <w:rPr>
          <w:rFonts w:hint="eastAsia" w:ascii="微软雅黑" w:hAnsi="微软雅黑" w:eastAsia="微软雅黑" w:cs="微软雅黑"/>
        </w:rPr>
        <w:t>2、各级别对应考试内容、方式及时间安排表</w:t>
      </w:r>
    </w:p>
    <w:tbl>
      <w:tblPr>
        <w:tblpPr w:leftFromText="180" w:rightFromText="180" w:vertAnchor="text" w:horzAnchor="page" w:tblpX="1571" w:tblpY="1372"/>
        <w:tblOverlap w:val="never"/>
        <w:tblW w:w="931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58"/>
        <w:gridCol w:w="1303"/>
        <w:gridCol w:w="2048"/>
        <w:gridCol w:w="558"/>
        <w:gridCol w:w="1211"/>
        <w:gridCol w:w="1775"/>
        <w:gridCol w:w="832"/>
        <w:gridCol w:w="10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PrEx>
        <w:trPr>
          <w:trHeight w:val="480" w:hRule="atLeast"/>
        </w:trPr>
        <w:tc>
          <w:tcPr>
            <w:tcW w:w="558"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ascii="微软雅黑" w:hAnsi="微软雅黑" w:eastAsia="微软雅黑" w:cs="微软雅黑"/>
                <w:i w:val="0"/>
                <w:caps w:val="0"/>
                <w:color w:val="333333"/>
                <w:spacing w:val="0"/>
                <w:sz w:val="22"/>
                <w:szCs w:val="22"/>
                <w:bdr w:val="none" w:color="auto" w:sz="0" w:space="0"/>
              </w:rPr>
              <w:t>等级</w:t>
            </w:r>
          </w:p>
        </w:tc>
        <w:tc>
          <w:tcPr>
            <w:tcW w:w="1303"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鉴定内容</w:t>
            </w:r>
          </w:p>
        </w:tc>
        <w:tc>
          <w:tcPr>
            <w:tcW w:w="2048"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题型</w:t>
            </w:r>
          </w:p>
        </w:tc>
        <w:tc>
          <w:tcPr>
            <w:tcW w:w="558"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题量</w:t>
            </w:r>
          </w:p>
        </w:tc>
        <w:tc>
          <w:tcPr>
            <w:tcW w:w="1211"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答题方式</w:t>
            </w:r>
          </w:p>
        </w:tc>
        <w:tc>
          <w:tcPr>
            <w:tcW w:w="1775"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考试时间</w:t>
            </w:r>
          </w:p>
        </w:tc>
        <w:tc>
          <w:tcPr>
            <w:tcW w:w="832"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分值</w:t>
            </w:r>
          </w:p>
        </w:tc>
        <w:tc>
          <w:tcPr>
            <w:tcW w:w="1028" w:type="dxa"/>
            <w:tcBorders>
              <w:top w:val="single" w:color="B5B5B5" w:sz="6" w:space="0"/>
              <w:left w:val="single" w:color="B5B5B5" w:sz="6" w:space="0"/>
              <w:bottom w:val="single" w:color="B5B5B5" w:sz="6" w:space="0"/>
              <w:right w:val="single" w:color="B5B5B5" w:sz="6" w:space="0"/>
            </w:tcBorders>
            <w:shd w:val="clear" w:color="auto" w:fill="C8EB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权重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55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3级</w:t>
            </w: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职业道德</w:t>
            </w:r>
          </w:p>
        </w:tc>
        <w:tc>
          <w:tcPr>
            <w:tcW w:w="204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选择题</w:t>
            </w:r>
          </w:p>
        </w:tc>
        <w:tc>
          <w:tcPr>
            <w:tcW w:w="55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125</w:t>
            </w:r>
          </w:p>
        </w:tc>
        <w:tc>
          <w:tcPr>
            <w:tcW w:w="1211"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上机考试</w:t>
            </w:r>
          </w:p>
        </w:tc>
        <w:tc>
          <w:tcPr>
            <w:tcW w:w="1775"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08:30-10:00</w:t>
            </w: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25</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理论知识</w:t>
            </w:r>
          </w:p>
        </w:tc>
        <w:tc>
          <w:tcPr>
            <w:tcW w:w="204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21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775"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80" w:hRule="atLeast"/>
        </w:trPr>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专业能力</w:t>
            </w:r>
          </w:p>
        </w:tc>
        <w:tc>
          <w:tcPr>
            <w:tcW w:w="204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caps w:val="0"/>
                <w:color w:val="333333"/>
                <w:spacing w:val="0"/>
                <w:sz w:val="22"/>
                <w:szCs w:val="22"/>
                <w:bdr w:val="none" w:color="auto" w:sz="0" w:space="0"/>
              </w:rPr>
            </w:pPr>
            <w:r>
              <w:rPr>
                <w:rFonts w:hint="eastAsia" w:ascii="微软雅黑" w:hAnsi="微软雅黑" w:eastAsia="微软雅黑" w:cs="微软雅黑"/>
                <w:i w:val="0"/>
                <w:caps w:val="0"/>
                <w:color w:val="333333"/>
                <w:spacing w:val="0"/>
                <w:sz w:val="22"/>
                <w:szCs w:val="22"/>
                <w:bdr w:val="none" w:color="auto" w:sz="0" w:space="0"/>
              </w:rPr>
              <w:t>简答、计算、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综合题等</w:t>
            </w:r>
          </w:p>
        </w:tc>
        <w:tc>
          <w:tcPr>
            <w:tcW w:w="558" w:type="dxa"/>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211"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上机考试</w:t>
            </w:r>
          </w:p>
        </w:tc>
        <w:tc>
          <w:tcPr>
            <w:tcW w:w="1775"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10:30-12:30</w:t>
            </w: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80" w:hRule="atLeast"/>
        </w:trPr>
        <w:tc>
          <w:tcPr>
            <w:tcW w:w="55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2级</w:t>
            </w: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职业道德</w:t>
            </w:r>
          </w:p>
        </w:tc>
        <w:tc>
          <w:tcPr>
            <w:tcW w:w="204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选择题</w:t>
            </w:r>
          </w:p>
        </w:tc>
        <w:tc>
          <w:tcPr>
            <w:tcW w:w="55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125</w:t>
            </w:r>
          </w:p>
        </w:tc>
        <w:tc>
          <w:tcPr>
            <w:tcW w:w="1211"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上机考试</w:t>
            </w:r>
          </w:p>
        </w:tc>
        <w:tc>
          <w:tcPr>
            <w:tcW w:w="1775"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08:30-10:00</w:t>
            </w: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25</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80" w:hRule="atLeast"/>
        </w:trPr>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理论知识</w:t>
            </w:r>
          </w:p>
        </w:tc>
        <w:tc>
          <w:tcPr>
            <w:tcW w:w="204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21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775"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专业能力</w:t>
            </w:r>
          </w:p>
        </w:tc>
        <w:tc>
          <w:tcPr>
            <w:tcW w:w="204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简答、综合分析题</w:t>
            </w:r>
          </w:p>
        </w:tc>
        <w:tc>
          <w:tcPr>
            <w:tcW w:w="558" w:type="dxa"/>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211"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上机考试</w:t>
            </w:r>
          </w:p>
        </w:tc>
        <w:tc>
          <w:tcPr>
            <w:tcW w:w="1775"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10:30-12:30</w:t>
            </w: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综合评审</w:t>
            </w:r>
          </w:p>
        </w:tc>
        <w:tc>
          <w:tcPr>
            <w:tcW w:w="204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论文撰写或公文筐</w:t>
            </w:r>
          </w:p>
        </w:tc>
        <w:tc>
          <w:tcPr>
            <w:tcW w:w="558" w:type="dxa"/>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211"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口头或书面答辩</w:t>
            </w:r>
          </w:p>
        </w:tc>
        <w:tc>
          <w:tcPr>
            <w:tcW w:w="1775"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由省级鉴定中心另行通知</w:t>
            </w: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55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1级</w:t>
            </w: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职业道德</w:t>
            </w:r>
          </w:p>
        </w:tc>
        <w:tc>
          <w:tcPr>
            <w:tcW w:w="204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选择题</w:t>
            </w:r>
          </w:p>
        </w:tc>
        <w:tc>
          <w:tcPr>
            <w:tcW w:w="558"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125</w:t>
            </w:r>
          </w:p>
        </w:tc>
        <w:tc>
          <w:tcPr>
            <w:tcW w:w="1211"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上机考试</w:t>
            </w:r>
          </w:p>
        </w:tc>
        <w:tc>
          <w:tcPr>
            <w:tcW w:w="1775" w:type="dxa"/>
            <w:vMerge w:val="restart"/>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08:30-10:00</w:t>
            </w: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25</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理论知识</w:t>
            </w:r>
          </w:p>
        </w:tc>
        <w:tc>
          <w:tcPr>
            <w:tcW w:w="204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211"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775"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专业能力</w:t>
            </w:r>
          </w:p>
        </w:tc>
        <w:tc>
          <w:tcPr>
            <w:tcW w:w="204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简答、综合分析题</w:t>
            </w:r>
          </w:p>
        </w:tc>
        <w:tc>
          <w:tcPr>
            <w:tcW w:w="558" w:type="dxa"/>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211"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上机考试</w:t>
            </w:r>
          </w:p>
        </w:tc>
        <w:tc>
          <w:tcPr>
            <w:tcW w:w="1775"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10:30-12:30</w:t>
            </w: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558" w:type="dxa"/>
            <w:vMerge w:val="continue"/>
            <w:tcBorders>
              <w:top w:val="single" w:color="B5B5B5" w:sz="6" w:space="0"/>
              <w:left w:val="single" w:color="B5B5B5" w:sz="6" w:space="0"/>
              <w:bottom w:val="single" w:color="B5B5B5" w:sz="6" w:space="0"/>
              <w:right w:val="single" w:color="B5B5B5" w:sz="6" w:space="0"/>
            </w:tcBorders>
            <w:shd w:val="clear" w:color="auto" w:fill="FFFFFF"/>
            <w:vAlign w:val="center"/>
          </w:tcPr>
          <w:p>
            <w:pPr>
              <w:jc w:val="center"/>
              <w:rPr>
                <w:rFonts w:hint="eastAsia" w:ascii="微软雅黑" w:hAnsi="微软雅黑" w:eastAsia="微软雅黑" w:cs="微软雅黑"/>
                <w:i w:val="0"/>
                <w:caps w:val="0"/>
                <w:color w:val="333333"/>
                <w:spacing w:val="0"/>
                <w:sz w:val="22"/>
                <w:szCs w:val="22"/>
              </w:rPr>
            </w:pPr>
          </w:p>
        </w:tc>
        <w:tc>
          <w:tcPr>
            <w:tcW w:w="1303"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综合评审</w:t>
            </w:r>
          </w:p>
        </w:tc>
        <w:tc>
          <w:tcPr>
            <w:tcW w:w="204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论文撰写或公文筐</w:t>
            </w:r>
          </w:p>
        </w:tc>
        <w:tc>
          <w:tcPr>
            <w:tcW w:w="55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 </w:t>
            </w:r>
          </w:p>
        </w:tc>
        <w:tc>
          <w:tcPr>
            <w:tcW w:w="1211"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口头或书面答辩</w:t>
            </w:r>
          </w:p>
        </w:tc>
        <w:tc>
          <w:tcPr>
            <w:tcW w:w="1775"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由省级鉴定中心另行通知</w:t>
            </w:r>
          </w:p>
        </w:tc>
        <w:tc>
          <w:tcPr>
            <w:tcW w:w="832"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c>
          <w:tcPr>
            <w:tcW w:w="1028" w:type="dxa"/>
            <w:tcBorders>
              <w:top w:val="single" w:color="B5B5B5" w:sz="6" w:space="0"/>
              <w:left w:val="single" w:color="B5B5B5" w:sz="6" w:space="0"/>
              <w:bottom w:val="single" w:color="B5B5B5" w:sz="6" w:space="0"/>
              <w:right w:val="single" w:color="B5B5B5"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2"/>
                <w:szCs w:val="22"/>
              </w:rPr>
            </w:pPr>
            <w:r>
              <w:rPr>
                <w:rFonts w:hint="eastAsia" w:ascii="微软雅黑" w:hAnsi="微软雅黑" w:eastAsia="微软雅黑" w:cs="微软雅黑"/>
                <w:i w:val="0"/>
                <w:caps w:val="0"/>
                <w:color w:val="333333"/>
                <w:spacing w:val="0"/>
                <w:sz w:val="22"/>
                <w:szCs w:val="22"/>
                <w:bdr w:val="none" w:color="auto" w:sz="0" w:space="0"/>
              </w:rPr>
              <w:t>100%</w:t>
            </w:r>
          </w:p>
        </w:tc>
      </w:tr>
    </w:tbl>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rPr>
        <w:t>四、证书发放：</w:t>
      </w:r>
    </w:p>
    <w:p>
      <w:pPr>
        <w:rPr>
          <w:rFonts w:hint="eastAsia" w:ascii="微软雅黑" w:hAnsi="微软雅黑" w:eastAsia="微软雅黑" w:cs="微软雅黑"/>
        </w:rPr>
      </w:pPr>
      <w:r>
        <w:rPr>
          <w:rFonts w:hint="eastAsia" w:ascii="微软雅黑" w:hAnsi="微软雅黑" w:eastAsia="微软雅黑" w:cs="微软雅黑"/>
        </w:rPr>
        <w:t>考试通过后发放相应等级的证书，该证书由人力资源与社会保障部盖红色印章及各省的钢制印章方属有效。（注：该证书全国通用）</w:t>
      </w: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rPr>
        <w:t>五、补考说明：</w:t>
      </w:r>
    </w:p>
    <w:p>
      <w:pPr>
        <w:rPr>
          <w:rFonts w:hint="eastAsia" w:ascii="微软雅黑" w:hAnsi="微软雅黑" w:eastAsia="微软雅黑" w:cs="微软雅黑"/>
        </w:rPr>
      </w:pPr>
      <w:r>
        <w:rPr>
          <w:rFonts w:hint="eastAsia" w:ascii="微软雅黑" w:hAnsi="微软雅黑" w:eastAsia="微软雅黑" w:cs="微软雅黑"/>
        </w:rPr>
        <w:t>企业人力资源管理师认证考试分成两个部分：第一、理论部分，第二、操作技能部分。两个部分均通过方视为通过，有一部分不及格或两部分都不及格均视为未通过考试，但一部分未通过者只需补考该不及格部分(注:一部分不及格只有一次只补考该不及格部分的机会，若补考还未通过二次补考时则需要两门课都补考)，两门未通过者则需要补考两门（相当于重新考试）。</w:t>
      </w:r>
    </w:p>
    <w:p>
      <w:pPr>
        <w:rPr>
          <w:rFonts w:hint="eastAsia" w:ascii="微软雅黑" w:hAnsi="微软雅黑" w:eastAsia="微软雅黑" w:cs="微软雅黑"/>
        </w:rPr>
      </w:pPr>
      <w:r>
        <w:rPr>
          <w:rFonts w:ascii="宋体" w:hAnsi="宋体" w:eastAsia="宋体" w:cs="宋体"/>
          <w:sz w:val="24"/>
          <w:szCs w:val="24"/>
        </w:rPr>
        <w:drawing>
          <wp:inline distT="0" distB="0" distL="114300" distR="114300">
            <wp:extent cx="1691640" cy="2167255"/>
            <wp:effectExtent l="0" t="0" r="3810" b="444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1691640" cy="216725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661160" cy="2195195"/>
            <wp:effectExtent l="0" t="0" r="15240" b="1460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5"/>
                    <a:stretch>
                      <a:fillRect/>
                    </a:stretch>
                  </pic:blipFill>
                  <pic:spPr>
                    <a:xfrm>
                      <a:off x="0" y="0"/>
                      <a:ext cx="1661160" cy="219519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689100" cy="2200275"/>
            <wp:effectExtent l="0" t="0" r="6350" b="952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6"/>
                    <a:stretch>
                      <a:fillRect/>
                    </a:stretch>
                  </pic:blipFill>
                  <pic:spPr>
                    <a:xfrm>
                      <a:off x="0" y="0"/>
                      <a:ext cx="1689100" cy="2200275"/>
                    </a:xfrm>
                    <a:prstGeom prst="rect">
                      <a:avLst/>
                    </a:prstGeom>
                    <a:noFill/>
                    <a:ln w="9525">
                      <a:noFill/>
                    </a:ln>
                  </pic:spPr>
                </pic:pic>
              </a:graphicData>
            </a:graphic>
          </wp:inline>
        </w:drawing>
      </w:r>
    </w:p>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23DAB"/>
    <w:rsid w:val="1F8A0AFB"/>
    <w:rsid w:val="2685148A"/>
    <w:rsid w:val="48697606"/>
    <w:rsid w:val="697E4B67"/>
    <w:rsid w:val="7DC92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24383</dc:creator>
  <cp:lastModifiedBy>蚂蚁</cp:lastModifiedBy>
  <dcterms:modified xsi:type="dcterms:W3CDTF">2018-12-25T03:09:26Z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