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rPr>
      </w:pPr>
      <w:bookmarkStart w:id="0" w:name="_Toc3628233"/>
      <w:bookmarkStart w:id="31" w:name="_GoBack"/>
    </w:p>
    <w:p>
      <w:pPr>
        <w:jc w:val="center"/>
        <w:rPr>
          <w:rFonts w:hint="eastAsia" w:ascii="宋体" w:hAnsi="宋体" w:eastAsia="宋体" w:cs="宋体"/>
          <w:b/>
          <w:bCs/>
          <w:sz w:val="52"/>
        </w:rPr>
      </w:pPr>
    </w:p>
    <w:p>
      <w:pPr>
        <w:jc w:val="center"/>
        <w:rPr>
          <w:rFonts w:hint="eastAsia" w:ascii="宋体" w:hAnsi="宋体" w:eastAsia="宋体" w:cs="宋体"/>
          <w:b/>
          <w:bCs/>
          <w:sz w:val="52"/>
        </w:rPr>
      </w:pPr>
    </w:p>
    <w:p>
      <w:pPr>
        <w:jc w:val="center"/>
        <w:rPr>
          <w:rFonts w:hint="eastAsia" w:ascii="宋体" w:hAnsi="宋体" w:eastAsia="宋体" w:cs="宋体"/>
          <w:b/>
          <w:bCs/>
          <w:sz w:val="36"/>
          <w:szCs w:val="36"/>
        </w:rPr>
      </w:pPr>
      <w:r>
        <w:rPr>
          <w:rFonts w:hint="eastAsia" w:ascii="宋体" w:hAnsi="宋体" w:eastAsia="宋体" w:cs="宋体"/>
          <w:b/>
          <w:bCs/>
          <w:sz w:val="36"/>
          <w:szCs w:val="36"/>
        </w:rPr>
        <w:t>XXIT信息技术有限公司</w:t>
      </w:r>
    </w:p>
    <w:p>
      <w:pPr>
        <w:jc w:val="center"/>
        <w:rPr>
          <w:rFonts w:hint="eastAsia" w:ascii="宋体" w:hAnsi="宋体" w:eastAsia="宋体" w:cs="宋体"/>
          <w:b/>
          <w:bCs/>
          <w:sz w:val="52"/>
        </w:rPr>
      </w:pPr>
    </w:p>
    <w:p>
      <w:pPr>
        <w:jc w:val="center"/>
        <w:rPr>
          <w:rFonts w:hint="eastAsia" w:ascii="宋体" w:hAnsi="宋体" w:eastAsia="宋体" w:cs="宋体"/>
          <w:b/>
          <w:bCs/>
          <w:sz w:val="52"/>
        </w:rPr>
      </w:pPr>
    </w:p>
    <w:p>
      <w:pPr>
        <w:jc w:val="center"/>
        <w:rPr>
          <w:rFonts w:hint="eastAsia" w:ascii="宋体" w:hAnsi="宋体" w:eastAsia="宋体" w:cs="宋体"/>
          <w:b/>
          <w:bCs/>
          <w:sz w:val="52"/>
        </w:rPr>
      </w:pPr>
    </w:p>
    <w:p>
      <w:pPr>
        <w:jc w:val="center"/>
        <w:rPr>
          <w:rFonts w:hint="eastAsia" w:ascii="宋体" w:hAnsi="宋体" w:eastAsia="宋体" w:cs="宋体"/>
          <w:b/>
          <w:bCs/>
          <w:sz w:val="52"/>
        </w:rPr>
      </w:pPr>
    </w:p>
    <w:p>
      <w:pPr>
        <w:jc w:val="center"/>
        <w:rPr>
          <w:rFonts w:hint="eastAsia" w:ascii="宋体" w:hAnsi="宋体" w:eastAsia="宋体" w:cs="宋体"/>
          <w:b/>
          <w:bCs/>
          <w:sz w:val="44"/>
        </w:rPr>
      </w:pPr>
    </w:p>
    <w:p>
      <w:pPr>
        <w:jc w:val="center"/>
        <w:rPr>
          <w:rFonts w:hint="eastAsia" w:ascii="宋体" w:hAnsi="宋体" w:eastAsia="宋体" w:cs="宋体"/>
          <w:b/>
          <w:bCs/>
          <w:sz w:val="50"/>
          <w:szCs w:val="32"/>
        </w:rPr>
      </w:pPr>
      <w:r>
        <w:rPr>
          <w:rFonts w:hint="eastAsia" w:ascii="宋体" w:hAnsi="宋体" w:eastAsia="宋体" w:cs="宋体"/>
          <w:b/>
          <w:bCs/>
          <w:sz w:val="50"/>
          <w:szCs w:val="32"/>
        </w:rPr>
        <w:t>薪酬体系设计方案</w:t>
      </w:r>
    </w:p>
    <w:p>
      <w:pPr>
        <w:jc w:val="center"/>
        <w:rPr>
          <w:rFonts w:hint="eastAsia" w:ascii="宋体" w:hAnsi="宋体" w:eastAsia="宋体" w:cs="宋体"/>
          <w:b/>
          <w:bCs/>
          <w:sz w:val="62"/>
          <w:szCs w:val="44"/>
        </w:rPr>
      </w:pPr>
      <w:r>
        <w:rPr>
          <w:rFonts w:hint="eastAsia" w:ascii="宋体" w:hAnsi="宋体" w:eastAsia="宋体" w:cs="宋体"/>
          <w:b/>
          <w:bCs/>
          <w:sz w:val="50"/>
          <w:szCs w:val="32"/>
        </w:rPr>
        <w:t>暨薪酬管理制度</w:t>
      </w:r>
    </w:p>
    <w:p>
      <w:pPr>
        <w:pStyle w:val="21"/>
        <w:tabs>
          <w:tab w:val="right" w:leader="dot" w:pos="8296"/>
        </w:tabs>
        <w:rPr>
          <w:rFonts w:hint="eastAsia" w:ascii="宋体" w:hAnsi="宋体" w:eastAsia="宋体" w:cs="宋体"/>
          <w:b/>
          <w:bCs/>
          <w:sz w:val="28"/>
        </w:rPr>
      </w:pPr>
    </w:p>
    <w:p>
      <w:pPr>
        <w:pStyle w:val="21"/>
        <w:tabs>
          <w:tab w:val="right" w:leader="dot" w:pos="8296"/>
        </w:tabs>
        <w:rPr>
          <w:rFonts w:hint="eastAsia" w:ascii="宋体" w:hAnsi="宋体" w:eastAsia="宋体" w:cs="宋体"/>
          <w:b/>
          <w:bCs/>
          <w:sz w:val="28"/>
        </w:rPr>
      </w:pPr>
    </w:p>
    <w:p>
      <w:pPr>
        <w:jc w:val="center"/>
        <w:rPr>
          <w:rFonts w:hint="eastAsia" w:ascii="宋体" w:hAnsi="宋体" w:eastAsia="宋体" w:cs="宋体"/>
          <w:b/>
          <w:bCs/>
          <w:sz w:val="36"/>
        </w:rPr>
      </w:pPr>
    </w:p>
    <w:p>
      <w:pPr>
        <w:jc w:val="center"/>
        <w:rPr>
          <w:rFonts w:hint="eastAsia" w:ascii="宋体" w:hAnsi="宋体" w:eastAsia="宋体" w:cs="宋体"/>
          <w:b/>
          <w:bCs/>
          <w:sz w:val="32"/>
          <w:szCs w:val="32"/>
        </w:rPr>
        <w:sectPr>
          <w:headerReference r:id="rId3" w:type="default"/>
          <w:footerReference r:id="rId4" w:type="default"/>
          <w:footerReference r:id="rId5" w:type="even"/>
          <w:pgSz w:w="11906" w:h="16838"/>
          <w:pgMar w:top="1440" w:right="1797" w:bottom="1440" w:left="1797" w:header="851" w:footer="992" w:gutter="0"/>
          <w:cols w:space="425" w:num="1"/>
          <w:docGrid w:type="lines" w:linePitch="312" w:charSpace="0"/>
        </w:sectPr>
      </w:pPr>
      <w:r>
        <w:rPr>
          <w:rFonts w:hint="eastAsia" w:ascii="宋体" w:hAnsi="宋体" w:eastAsia="宋体" w:cs="宋体"/>
          <w:b/>
          <w:bCs/>
          <w:sz w:val="32"/>
          <w:szCs w:val="32"/>
        </w:rPr>
        <w:t>（</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TIME </w:instrText>
      </w:r>
      <w:r>
        <w:rPr>
          <w:rFonts w:hint="eastAsia" w:ascii="宋体" w:hAnsi="宋体" w:eastAsia="宋体" w:cs="宋体"/>
          <w:b/>
          <w:bCs/>
          <w:sz w:val="32"/>
          <w:szCs w:val="32"/>
        </w:rPr>
        <w:instrText xml:space="preserve">\@ "EEEE年O月"</w:instrText>
      </w:r>
      <w:r>
        <w:rPr>
          <w:rFonts w:hint="eastAsia" w:ascii="宋体" w:hAnsi="宋体" w:eastAsia="宋体" w:cs="宋体"/>
          <w:b/>
          <w:bCs/>
          <w:sz w:val="32"/>
          <w:szCs w:val="32"/>
        </w:rPr>
        <w:instrText xml:space="preserve">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二〇二〇年二月</w:t>
      </w:r>
      <w:r>
        <w:rPr>
          <w:rFonts w:hint="eastAsia" w:ascii="宋体" w:hAnsi="宋体" w:eastAsia="宋体" w:cs="宋体"/>
          <w:b/>
          <w:bCs/>
          <w:sz w:val="32"/>
          <w:szCs w:val="32"/>
        </w:rPr>
        <w:fldChar w:fldCharType="end"/>
      </w:r>
      <w:r>
        <w:rPr>
          <w:rFonts w:hint="eastAsia" w:ascii="宋体" w:hAnsi="宋体" w:eastAsia="宋体" w:cs="宋体"/>
          <w:b/>
          <w:bCs/>
          <w:sz w:val="32"/>
          <w:szCs w:val="32"/>
        </w:rPr>
        <w:t>）</w:t>
      </w:r>
    </w:p>
    <w:p>
      <w:pPr>
        <w:jc w:val="center"/>
        <w:rPr>
          <w:rFonts w:hint="eastAsia" w:ascii="宋体" w:hAnsi="宋体" w:eastAsia="宋体" w:cs="宋体"/>
          <w:b/>
          <w:bCs/>
          <w:sz w:val="44"/>
        </w:rPr>
      </w:pPr>
      <w:r>
        <w:rPr>
          <w:rFonts w:hint="eastAsia" w:ascii="宋体" w:hAnsi="宋体" w:eastAsia="宋体" w:cs="宋体"/>
          <w:b/>
          <w:bCs/>
          <w:sz w:val="44"/>
        </w:rPr>
        <w:t>目 录</w:t>
      </w:r>
    </w:p>
    <w:p>
      <w:pPr>
        <w:jc w:val="center"/>
        <w:rPr>
          <w:rFonts w:hint="eastAsia" w:ascii="宋体" w:hAnsi="宋体" w:eastAsia="宋体" w:cs="宋体"/>
          <w:b/>
          <w:bCs/>
          <w:sz w:val="28"/>
          <w:szCs w:val="28"/>
        </w:rPr>
      </w:pPr>
    </w:p>
    <w:p>
      <w:pPr>
        <w:pStyle w:val="21"/>
        <w:tabs>
          <w:tab w:val="right" w:leader="dot" w:pos="8296"/>
        </w:tabs>
        <w:rPr>
          <w:rFonts w:hint="eastAsia" w:ascii="宋体" w:hAnsi="宋体" w:eastAsia="宋体" w:cs="宋体"/>
          <w:smallCaps w:val="0"/>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TOC \o "1-3" \h \z </w:instrText>
      </w:r>
      <w:r>
        <w:rPr>
          <w:rFonts w:hint="eastAsia" w:ascii="宋体" w:hAnsi="宋体" w:eastAsia="宋体" w:cs="宋体"/>
          <w:b/>
          <w:bCs/>
          <w:sz w:val="28"/>
          <w:szCs w:val="28"/>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"_Toc353291114" </w:instrText>
      </w:r>
      <w:r>
        <w:rPr>
          <w:rFonts w:hint="eastAsia" w:ascii="宋体" w:hAnsi="宋体" w:eastAsia="宋体" w:cs="宋体"/>
        </w:rPr>
        <w:fldChar w:fldCharType="separate"/>
      </w:r>
      <w:r>
        <w:rPr>
          <w:rStyle w:val="29"/>
          <w:rFonts w:hint="eastAsia" w:ascii="宋体" w:hAnsi="宋体" w:eastAsia="宋体" w:cs="宋体"/>
          <w:sz w:val="28"/>
          <w:szCs w:val="28"/>
        </w:rPr>
        <w:t>第一章</w:t>
      </w:r>
      <w:r>
        <w:rPr>
          <w:rStyle w:val="29"/>
          <w:rFonts w:hint="eastAsia" w:ascii="宋体" w:hAnsi="宋体" w:eastAsia="宋体" w:cs="宋体"/>
          <w:sz w:val="28"/>
          <w:szCs w:val="28"/>
        </w:rPr>
        <w:t xml:space="preserve">  </w:t>
      </w:r>
      <w:r>
        <w:rPr>
          <w:rStyle w:val="29"/>
          <w:rFonts w:hint="eastAsia" w:ascii="宋体" w:hAnsi="宋体" w:eastAsia="宋体" w:cs="宋体"/>
          <w:sz w:val="28"/>
          <w:szCs w:val="28"/>
        </w:rPr>
        <w:t>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_Toc353291114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1"/>
        <w:tabs>
          <w:tab w:val="right" w:leader="dot" w:pos="8296"/>
        </w:tabs>
        <w:rPr>
          <w:rFonts w:hint="eastAsia" w:ascii="宋体" w:hAnsi="宋体" w:eastAsia="宋体" w:cs="宋体"/>
          <w:smallCaps w:val="0"/>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"_Toc353291115" </w:instrText>
      </w:r>
      <w:r>
        <w:rPr>
          <w:rFonts w:hint="eastAsia" w:ascii="宋体" w:hAnsi="宋体" w:eastAsia="宋体" w:cs="宋体"/>
        </w:rPr>
        <w:fldChar w:fldCharType="separate"/>
      </w:r>
      <w:r>
        <w:rPr>
          <w:rStyle w:val="29"/>
          <w:rFonts w:hint="eastAsia" w:ascii="宋体" w:hAnsi="宋体" w:eastAsia="宋体" w:cs="宋体"/>
          <w:sz w:val="28"/>
          <w:szCs w:val="28"/>
        </w:rPr>
        <w:t>第二章</w:t>
      </w:r>
      <w:r>
        <w:rPr>
          <w:rStyle w:val="29"/>
          <w:rFonts w:hint="eastAsia" w:ascii="宋体" w:hAnsi="宋体" w:eastAsia="宋体" w:cs="宋体"/>
          <w:sz w:val="28"/>
          <w:szCs w:val="28"/>
        </w:rPr>
        <w:t xml:space="preserve">  </w:t>
      </w:r>
      <w:r>
        <w:rPr>
          <w:rStyle w:val="29"/>
          <w:rFonts w:hint="eastAsia" w:ascii="宋体" w:hAnsi="宋体" w:eastAsia="宋体" w:cs="宋体"/>
          <w:sz w:val="28"/>
          <w:szCs w:val="28"/>
        </w:rPr>
        <w:t>薪酬体系与结构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_Toc353291115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1"/>
        <w:tabs>
          <w:tab w:val="right" w:leader="dot" w:pos="8296"/>
        </w:tabs>
        <w:rPr>
          <w:rFonts w:hint="eastAsia" w:ascii="宋体" w:hAnsi="宋体" w:eastAsia="宋体" w:cs="宋体"/>
          <w:smallCaps w:val="0"/>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"_Toc353291116" </w:instrText>
      </w:r>
      <w:r>
        <w:rPr>
          <w:rFonts w:hint="eastAsia" w:ascii="宋体" w:hAnsi="宋体" w:eastAsia="宋体" w:cs="宋体"/>
        </w:rPr>
        <w:fldChar w:fldCharType="separate"/>
      </w:r>
      <w:r>
        <w:rPr>
          <w:rStyle w:val="29"/>
          <w:rFonts w:hint="eastAsia" w:ascii="宋体" w:hAnsi="宋体" w:eastAsia="宋体" w:cs="宋体"/>
          <w:sz w:val="28"/>
          <w:szCs w:val="28"/>
        </w:rPr>
        <w:t>第三章</w:t>
      </w:r>
      <w:r>
        <w:rPr>
          <w:rStyle w:val="29"/>
          <w:rFonts w:hint="eastAsia" w:ascii="宋体" w:hAnsi="宋体" w:eastAsia="宋体" w:cs="宋体"/>
          <w:sz w:val="28"/>
          <w:szCs w:val="28"/>
        </w:rPr>
        <w:t xml:space="preserve">  </w:t>
      </w:r>
      <w:r>
        <w:rPr>
          <w:rStyle w:val="29"/>
          <w:rFonts w:hint="eastAsia" w:ascii="宋体" w:hAnsi="宋体" w:eastAsia="宋体" w:cs="宋体"/>
          <w:sz w:val="28"/>
          <w:szCs w:val="28"/>
        </w:rPr>
        <w:t>岗位绩效工资制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_Toc353291116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1"/>
        <w:tabs>
          <w:tab w:val="right" w:leader="dot" w:pos="8296"/>
        </w:tabs>
        <w:rPr>
          <w:rFonts w:hint="eastAsia" w:ascii="宋体" w:hAnsi="宋体" w:eastAsia="宋体" w:cs="宋体"/>
          <w:smallCaps w:val="0"/>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"_Toc353291117" </w:instrText>
      </w:r>
      <w:r>
        <w:rPr>
          <w:rFonts w:hint="eastAsia" w:ascii="宋体" w:hAnsi="宋体" w:eastAsia="宋体" w:cs="宋体"/>
        </w:rPr>
        <w:fldChar w:fldCharType="separate"/>
      </w:r>
      <w:r>
        <w:rPr>
          <w:rStyle w:val="29"/>
          <w:rFonts w:hint="eastAsia" w:ascii="宋体" w:hAnsi="宋体" w:eastAsia="宋体" w:cs="宋体"/>
          <w:sz w:val="28"/>
          <w:szCs w:val="28"/>
        </w:rPr>
        <w:t>第四章</w:t>
      </w:r>
      <w:r>
        <w:rPr>
          <w:rStyle w:val="29"/>
          <w:rFonts w:hint="eastAsia" w:ascii="宋体" w:hAnsi="宋体" w:eastAsia="宋体" w:cs="宋体"/>
          <w:sz w:val="28"/>
          <w:szCs w:val="28"/>
        </w:rPr>
        <w:t xml:space="preserve">  </w:t>
      </w:r>
      <w:r>
        <w:rPr>
          <w:rStyle w:val="29"/>
          <w:rFonts w:hint="eastAsia" w:ascii="宋体" w:hAnsi="宋体" w:eastAsia="宋体" w:cs="宋体"/>
          <w:sz w:val="28"/>
          <w:szCs w:val="28"/>
        </w:rPr>
        <w:t>绩效工资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_Toc353291117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1"/>
        <w:tabs>
          <w:tab w:val="right" w:leader="dot" w:pos="8296"/>
        </w:tabs>
        <w:rPr>
          <w:rFonts w:hint="eastAsia" w:ascii="宋体" w:hAnsi="宋体" w:eastAsia="宋体" w:cs="宋体"/>
          <w:smallCaps w:val="0"/>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"_Toc353291118" </w:instrText>
      </w:r>
      <w:r>
        <w:rPr>
          <w:rFonts w:hint="eastAsia" w:ascii="宋体" w:hAnsi="宋体" w:eastAsia="宋体" w:cs="宋体"/>
        </w:rPr>
        <w:fldChar w:fldCharType="separate"/>
      </w:r>
      <w:r>
        <w:rPr>
          <w:rStyle w:val="29"/>
          <w:rFonts w:hint="eastAsia" w:ascii="宋体" w:hAnsi="宋体" w:eastAsia="宋体" w:cs="宋体"/>
          <w:sz w:val="28"/>
          <w:szCs w:val="28"/>
        </w:rPr>
        <w:t>第五章</w:t>
      </w:r>
      <w:r>
        <w:rPr>
          <w:rStyle w:val="29"/>
          <w:rFonts w:hint="eastAsia" w:ascii="宋体" w:hAnsi="宋体" w:eastAsia="宋体" w:cs="宋体"/>
          <w:sz w:val="28"/>
          <w:szCs w:val="28"/>
        </w:rPr>
        <w:t xml:space="preserve">  </w:t>
      </w:r>
      <w:r>
        <w:rPr>
          <w:rStyle w:val="29"/>
          <w:rFonts w:hint="eastAsia" w:ascii="宋体" w:hAnsi="宋体" w:eastAsia="宋体" w:cs="宋体"/>
          <w:sz w:val="28"/>
          <w:szCs w:val="28"/>
        </w:rPr>
        <w:t>奖金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_Toc353291118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1"/>
        <w:tabs>
          <w:tab w:val="right" w:leader="dot" w:pos="8296"/>
        </w:tabs>
        <w:rPr>
          <w:rFonts w:hint="eastAsia" w:ascii="宋体" w:hAnsi="宋体" w:eastAsia="宋体" w:cs="宋体"/>
          <w:smallCaps w:val="0"/>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"_Toc353291119" </w:instrText>
      </w:r>
      <w:r>
        <w:rPr>
          <w:rFonts w:hint="eastAsia" w:ascii="宋体" w:hAnsi="宋体" w:eastAsia="宋体" w:cs="宋体"/>
        </w:rPr>
        <w:fldChar w:fldCharType="separate"/>
      </w:r>
      <w:r>
        <w:rPr>
          <w:rStyle w:val="29"/>
          <w:rFonts w:hint="eastAsia" w:ascii="宋体" w:hAnsi="宋体" w:eastAsia="宋体" w:cs="宋体"/>
          <w:sz w:val="28"/>
          <w:szCs w:val="28"/>
        </w:rPr>
        <w:t>第六章</w:t>
      </w:r>
      <w:r>
        <w:rPr>
          <w:rStyle w:val="29"/>
          <w:rFonts w:hint="eastAsia" w:ascii="宋体" w:hAnsi="宋体" w:eastAsia="宋体" w:cs="宋体"/>
          <w:sz w:val="28"/>
          <w:szCs w:val="28"/>
        </w:rPr>
        <w:t xml:space="preserve">  </w:t>
      </w:r>
      <w:r>
        <w:rPr>
          <w:rStyle w:val="29"/>
          <w:rFonts w:hint="eastAsia" w:ascii="宋体" w:hAnsi="宋体" w:eastAsia="宋体" w:cs="宋体"/>
          <w:sz w:val="28"/>
          <w:szCs w:val="28"/>
        </w:rPr>
        <w:t>晋升规定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_Toc353291119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1"/>
        <w:tabs>
          <w:tab w:val="right" w:leader="dot" w:pos="8296"/>
        </w:tabs>
        <w:rPr>
          <w:rFonts w:hint="eastAsia" w:ascii="宋体" w:hAnsi="宋体" w:eastAsia="宋体" w:cs="宋体"/>
          <w:smallCaps w:val="0"/>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"_Toc353291120" </w:instrText>
      </w:r>
      <w:r>
        <w:rPr>
          <w:rFonts w:hint="eastAsia" w:ascii="宋体" w:hAnsi="宋体" w:eastAsia="宋体" w:cs="宋体"/>
        </w:rPr>
        <w:fldChar w:fldCharType="separate"/>
      </w:r>
      <w:r>
        <w:rPr>
          <w:rStyle w:val="29"/>
          <w:rFonts w:hint="eastAsia" w:ascii="宋体" w:hAnsi="宋体" w:eastAsia="宋体" w:cs="宋体"/>
          <w:sz w:val="28"/>
          <w:szCs w:val="28"/>
        </w:rPr>
        <w:t>第七章</w:t>
      </w:r>
      <w:r>
        <w:rPr>
          <w:rStyle w:val="29"/>
          <w:rFonts w:hint="eastAsia" w:ascii="宋体" w:hAnsi="宋体" w:eastAsia="宋体" w:cs="宋体"/>
          <w:sz w:val="28"/>
          <w:szCs w:val="28"/>
        </w:rPr>
        <w:t xml:space="preserve">  </w:t>
      </w:r>
      <w:r>
        <w:rPr>
          <w:rStyle w:val="29"/>
          <w:rFonts w:hint="eastAsia" w:ascii="宋体" w:hAnsi="宋体" w:eastAsia="宋体" w:cs="宋体"/>
          <w:sz w:val="28"/>
          <w:szCs w:val="28"/>
        </w:rPr>
        <w:t>其他规定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_Toc353291120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rPr>
          <w:rFonts w:hint="eastAsia" w:ascii="宋体" w:hAnsi="宋体" w:eastAsia="宋体" w:cs="宋体"/>
          <w:b/>
          <w:bCs/>
          <w:sz w:val="44"/>
        </w:rPr>
      </w:pPr>
      <w:r>
        <w:rPr>
          <w:rFonts w:hint="eastAsia" w:ascii="宋体" w:hAnsi="宋体" w:eastAsia="宋体" w:cs="宋体"/>
          <w:b/>
          <w:bCs/>
          <w:sz w:val="28"/>
          <w:szCs w:val="28"/>
        </w:rPr>
        <w:fldChar w:fldCharType="end"/>
      </w:r>
    </w:p>
    <w:p>
      <w:pPr>
        <w:pStyle w:val="2"/>
        <w:jc w:val="center"/>
        <w:rPr>
          <w:rFonts w:hint="eastAsia" w:ascii="宋体" w:hAnsi="宋体" w:eastAsia="宋体" w:cs="宋体"/>
          <w:sz w:val="28"/>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pStyle w:val="2"/>
        <w:jc w:val="center"/>
        <w:rPr>
          <w:rFonts w:hint="eastAsia" w:ascii="宋体" w:hAnsi="宋体" w:eastAsia="宋体" w:cs="宋体"/>
          <w:sz w:val="28"/>
        </w:rPr>
      </w:pPr>
      <w:bookmarkStart w:id="1" w:name="_Toc28425212"/>
      <w:bookmarkStart w:id="2" w:name="_Toc353291114"/>
      <w:bookmarkStart w:id="3" w:name="_Toc16492362"/>
      <w:bookmarkStart w:id="4" w:name="_Toc28425157"/>
      <w:r>
        <w:rPr>
          <w:rFonts w:hint="eastAsia" w:ascii="宋体" w:hAnsi="宋体" w:eastAsia="宋体" w:cs="宋体"/>
          <w:sz w:val="28"/>
        </w:rPr>
        <w:t>第一章  总则</w:t>
      </w:r>
      <w:bookmarkEnd w:id="0"/>
      <w:bookmarkEnd w:id="1"/>
      <w:bookmarkEnd w:id="2"/>
      <w:bookmarkEnd w:id="3"/>
      <w:bookmarkEnd w:id="4"/>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 xml:space="preserve"> 薪酬释义：</w:t>
      </w:r>
    </w:p>
    <w:p>
      <w:pPr>
        <w:pStyle w:val="2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薪酬</w:t>
      </w:r>
      <w:r>
        <w:rPr>
          <w:rFonts w:hint="eastAsia" w:ascii="宋体" w:hAnsi="宋体" w:eastAsia="宋体" w:cs="宋体"/>
        </w:rPr>
        <w:t>是对员工为公司所做出贡献和付出努力的补偿，同时</w:t>
      </w:r>
      <w:r>
        <w:rPr>
          <w:rFonts w:hint="eastAsia" w:ascii="宋体" w:hAnsi="宋体" w:eastAsia="宋体" w:cs="宋体"/>
        </w:rPr>
        <w:t>体现岗位</w:t>
      </w:r>
      <w:r>
        <w:rPr>
          <w:rFonts w:hint="eastAsia" w:ascii="宋体" w:hAnsi="宋体" w:eastAsia="宋体" w:cs="宋体"/>
        </w:rPr>
        <w:t>工作性质、员工</w:t>
      </w:r>
      <w:r>
        <w:rPr>
          <w:rFonts w:hint="eastAsia" w:ascii="宋体" w:hAnsi="宋体" w:eastAsia="宋体" w:cs="宋体"/>
        </w:rPr>
        <w:t>工作</w:t>
      </w:r>
      <w:r>
        <w:rPr>
          <w:rFonts w:hint="eastAsia" w:ascii="宋体" w:hAnsi="宋体" w:eastAsia="宋体" w:cs="宋体"/>
        </w:rPr>
        <w:t>技能</w:t>
      </w:r>
      <w:r>
        <w:rPr>
          <w:rFonts w:hint="eastAsia" w:ascii="宋体" w:hAnsi="宋体" w:eastAsia="宋体" w:cs="宋体"/>
        </w:rPr>
        <w:t>和知识</w:t>
      </w:r>
      <w:r>
        <w:rPr>
          <w:rFonts w:hint="eastAsia" w:ascii="宋体" w:hAnsi="宋体" w:eastAsia="宋体" w:cs="宋体"/>
        </w:rPr>
        <w:t>经验</w:t>
      </w:r>
      <w:r>
        <w:rPr>
          <w:rFonts w:hint="eastAsia" w:ascii="宋体" w:hAnsi="宋体" w:eastAsia="宋体" w:cs="宋体"/>
        </w:rPr>
        <w:t>等</w:t>
      </w:r>
      <w:r>
        <w:rPr>
          <w:rFonts w:hint="eastAsia" w:ascii="宋体" w:hAnsi="宋体" w:eastAsia="宋体" w:cs="宋体"/>
        </w:rPr>
        <w:t>。</w:t>
      </w:r>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适用</w:t>
      </w:r>
      <w:r>
        <w:rPr>
          <w:rFonts w:hint="eastAsia" w:ascii="宋体" w:hAnsi="宋体" w:eastAsia="宋体" w:cs="宋体"/>
        </w:rPr>
        <w:t>范围：</w:t>
      </w:r>
    </w:p>
    <w:p>
      <w:pPr>
        <w:pStyle w:val="24"/>
        <w:spacing w:before="0" w:beforeAutospacing="0" w:after="0" w:afterAutospacing="0" w:line="360" w:lineRule="auto"/>
        <w:rPr>
          <w:rFonts w:hint="eastAsia" w:ascii="宋体" w:hAnsi="宋体" w:eastAsia="宋体" w:cs="宋体"/>
        </w:rPr>
      </w:pPr>
      <w:r>
        <w:rPr>
          <w:rFonts w:hint="eastAsia" w:ascii="宋体" w:hAnsi="宋体" w:eastAsia="宋体" w:cs="宋体"/>
        </w:rPr>
        <w:t xml:space="preserve">    本</w:t>
      </w:r>
      <w:r>
        <w:rPr>
          <w:rFonts w:hint="eastAsia" w:ascii="宋体" w:hAnsi="宋体" w:eastAsia="宋体" w:cs="宋体"/>
        </w:rPr>
        <w:t>管理制度</w:t>
      </w:r>
      <w:r>
        <w:rPr>
          <w:rFonts w:hint="eastAsia" w:ascii="宋体" w:hAnsi="宋体" w:eastAsia="宋体" w:cs="宋体"/>
        </w:rPr>
        <w:t>适用于</w:t>
      </w:r>
      <w:r>
        <w:rPr>
          <w:rFonts w:hint="eastAsia" w:ascii="宋体" w:hAnsi="宋体" w:eastAsia="宋体" w:cs="宋体"/>
        </w:rPr>
        <w:t>XXXXXXX信息技术有限公司</w:t>
      </w:r>
      <w:r>
        <w:rPr>
          <w:rFonts w:hint="eastAsia" w:ascii="宋体" w:hAnsi="宋体" w:eastAsia="宋体" w:cs="宋体"/>
        </w:rPr>
        <w:t>全</w:t>
      </w:r>
      <w:r>
        <w:rPr>
          <w:rFonts w:hint="eastAsia" w:ascii="宋体" w:hAnsi="宋体" w:eastAsia="宋体" w:cs="宋体"/>
        </w:rPr>
        <w:t>体</w:t>
      </w:r>
      <w:r>
        <w:rPr>
          <w:rFonts w:hint="eastAsia" w:ascii="宋体" w:hAnsi="宋体" w:eastAsia="宋体" w:cs="宋体"/>
        </w:rPr>
        <w:t>员工</w:t>
      </w:r>
      <w:r>
        <w:rPr>
          <w:rFonts w:hint="eastAsia" w:ascii="宋体" w:hAnsi="宋体" w:eastAsia="宋体" w:cs="宋体"/>
        </w:rPr>
        <w:t>（临时员工除外）</w:t>
      </w:r>
      <w:r>
        <w:rPr>
          <w:rFonts w:hint="eastAsia" w:ascii="宋体" w:hAnsi="宋体" w:eastAsia="宋体" w:cs="宋体"/>
        </w:rPr>
        <w:t>。</w:t>
      </w:r>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目的：</w:t>
      </w:r>
    </w:p>
    <w:p>
      <w:pPr>
        <w:pStyle w:val="2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适应公司变革性管理的需求</w:t>
      </w:r>
      <w:r>
        <w:rPr>
          <w:rFonts w:hint="eastAsia" w:ascii="宋体" w:hAnsi="宋体" w:eastAsia="宋体" w:cs="宋体"/>
        </w:rPr>
        <w:t>，</w:t>
      </w:r>
      <w:r>
        <w:rPr>
          <w:rFonts w:hint="eastAsia" w:ascii="宋体" w:hAnsi="宋体" w:eastAsia="宋体" w:cs="宋体"/>
        </w:rPr>
        <w:t>进一步完善员工内部分配机制，提高员工工作效率，增强员工岗位敬业精神，</w:t>
      </w:r>
      <w:r>
        <w:rPr>
          <w:rFonts w:hint="eastAsia" w:ascii="宋体" w:hAnsi="宋体" w:eastAsia="宋体" w:cs="宋体"/>
        </w:rPr>
        <w:t>使员工能够与公司一同分享公司发展所带来的短、中</w:t>
      </w:r>
      <w:r>
        <w:rPr>
          <w:rFonts w:hint="eastAsia" w:ascii="宋体" w:hAnsi="宋体" w:eastAsia="宋体" w:cs="宋体"/>
        </w:rPr>
        <w:t>、</w:t>
      </w:r>
      <w:r>
        <w:rPr>
          <w:rFonts w:hint="eastAsia" w:ascii="宋体" w:hAnsi="宋体" w:eastAsia="宋体" w:cs="宋体"/>
        </w:rPr>
        <w:t>长期收益。</w:t>
      </w:r>
    </w:p>
    <w:p>
      <w:pPr>
        <w:pStyle w:val="2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建立员工薪资晋级机制，</w:t>
      </w:r>
      <w:r>
        <w:rPr>
          <w:rFonts w:hint="eastAsia" w:ascii="宋体" w:hAnsi="宋体" w:eastAsia="宋体" w:cs="宋体"/>
        </w:rPr>
        <w:t>增强薪酬的激励性，以达到公司吸引人才</w:t>
      </w:r>
      <w:r>
        <w:rPr>
          <w:rFonts w:hint="eastAsia" w:ascii="宋体" w:hAnsi="宋体" w:eastAsia="宋体" w:cs="宋体"/>
        </w:rPr>
        <w:t>、</w:t>
      </w:r>
      <w:r>
        <w:rPr>
          <w:rFonts w:hint="eastAsia" w:ascii="宋体" w:hAnsi="宋体" w:eastAsia="宋体" w:cs="宋体"/>
        </w:rPr>
        <w:t>留住</w:t>
      </w:r>
      <w:r>
        <w:rPr>
          <w:rFonts w:hint="eastAsia" w:ascii="宋体" w:hAnsi="宋体" w:eastAsia="宋体" w:cs="宋体"/>
        </w:rPr>
        <w:t>人才和</w:t>
      </w:r>
      <w:r>
        <w:rPr>
          <w:rFonts w:hint="eastAsia" w:ascii="宋体" w:hAnsi="宋体" w:eastAsia="宋体" w:cs="宋体"/>
        </w:rPr>
        <w:t>激励人才的目的。</w:t>
      </w:r>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基本</w:t>
      </w:r>
      <w:r>
        <w:rPr>
          <w:rFonts w:hint="eastAsia" w:ascii="宋体" w:hAnsi="宋体" w:eastAsia="宋体" w:cs="宋体"/>
        </w:rPr>
        <w:t>原则</w:t>
      </w:r>
      <w:r>
        <w:rPr>
          <w:rFonts w:hint="eastAsia" w:ascii="宋体" w:hAnsi="宋体" w:eastAsia="宋体" w:cs="宋体"/>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（一）贯彻公司发展战略，促进人才队伍建设。</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（二）以岗定薪，按绩取酬。在职位分类、评估和绩效管理基础上，根据岗位的相对价值和任职者胜任能力、绩效表现支付薪酬。</w:t>
      </w:r>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确立依据：</w:t>
      </w:r>
    </w:p>
    <w:p>
      <w:pPr>
        <w:pStyle w:val="24"/>
        <w:tabs>
          <w:tab w:val="left" w:pos="1440"/>
        </w:tabs>
        <w:spacing w:before="0" w:beforeAutospacing="0" w:after="0" w:afterAutospacing="0" w:line="360" w:lineRule="auto"/>
        <w:ind w:left="481" w:leftChars="229" w:firstLine="120" w:firstLineChars="50"/>
        <w:rPr>
          <w:rFonts w:hint="eastAsia" w:ascii="宋体" w:hAnsi="宋体" w:eastAsia="宋体" w:cs="宋体"/>
        </w:rPr>
      </w:pPr>
      <w:r>
        <w:rPr>
          <w:rFonts w:hint="eastAsia" w:ascii="宋体" w:hAnsi="宋体" w:eastAsia="宋体" w:cs="宋体"/>
        </w:rPr>
        <w:t>（一）依据岗位综合评价，确定岗位级别；</w:t>
      </w:r>
    </w:p>
    <w:p>
      <w:pPr>
        <w:pStyle w:val="24"/>
        <w:tabs>
          <w:tab w:val="left" w:pos="1440"/>
        </w:tabs>
        <w:spacing w:before="0" w:beforeAutospacing="0" w:after="0" w:afterAutospacing="0" w:line="360" w:lineRule="auto"/>
        <w:ind w:left="481" w:leftChars="229" w:firstLine="120" w:firstLineChars="50"/>
        <w:rPr>
          <w:rFonts w:hint="eastAsia" w:ascii="宋体" w:hAnsi="宋体" w:eastAsia="宋体" w:cs="宋体"/>
        </w:rPr>
      </w:pPr>
      <w:r>
        <w:rPr>
          <w:rFonts w:hint="eastAsia" w:ascii="宋体" w:hAnsi="宋体" w:eastAsia="宋体" w:cs="宋体"/>
        </w:rPr>
        <w:t>（二）依据个人知识、能力和资历等确定个人所在级别档次；</w:t>
      </w:r>
    </w:p>
    <w:p>
      <w:pPr>
        <w:pStyle w:val="24"/>
        <w:tabs>
          <w:tab w:val="left" w:pos="1440"/>
        </w:tabs>
        <w:spacing w:before="0" w:beforeAutospacing="0" w:after="0" w:afterAutospacing="0" w:line="360" w:lineRule="auto"/>
        <w:ind w:left="481" w:leftChars="229" w:firstLine="120" w:firstLineChars="50"/>
        <w:rPr>
          <w:rFonts w:hint="eastAsia" w:ascii="宋体" w:hAnsi="宋体" w:eastAsia="宋体" w:cs="宋体"/>
        </w:rPr>
      </w:pPr>
      <w:r>
        <w:rPr>
          <w:rFonts w:hint="eastAsia" w:ascii="宋体" w:hAnsi="宋体" w:eastAsia="宋体" w:cs="宋体"/>
        </w:rPr>
        <w:t>（三）依据工作业绩确定个人绩效工资；</w:t>
      </w:r>
    </w:p>
    <w:p>
      <w:pPr>
        <w:pStyle w:val="24"/>
        <w:tabs>
          <w:tab w:val="left" w:pos="1440"/>
        </w:tabs>
        <w:spacing w:before="0" w:beforeAutospacing="0" w:after="0" w:afterAutospacing="0" w:line="360" w:lineRule="auto"/>
        <w:ind w:left="481" w:leftChars="229" w:firstLine="120" w:firstLineChars="50"/>
        <w:rPr>
          <w:rFonts w:hint="eastAsia" w:ascii="宋体" w:hAnsi="宋体" w:eastAsia="宋体" w:cs="宋体"/>
        </w:rPr>
      </w:pPr>
      <w:r>
        <w:rPr>
          <w:rFonts w:hint="eastAsia" w:ascii="宋体" w:hAnsi="宋体" w:eastAsia="宋体" w:cs="宋体"/>
        </w:rPr>
        <w:t>（四）依据公司效益、劳动生产率增长情况、社会平均工资增长率和社会物价指数以及同地区同行业的薪资水平等，确定公司员工总体工资水平。</w:t>
      </w:r>
    </w:p>
    <w:p>
      <w:pPr>
        <w:pStyle w:val="2"/>
        <w:jc w:val="center"/>
        <w:rPr>
          <w:rFonts w:hint="eastAsia" w:ascii="宋体" w:hAnsi="宋体" w:eastAsia="宋体" w:cs="宋体"/>
          <w:sz w:val="28"/>
        </w:rPr>
      </w:pPr>
      <w:bookmarkStart w:id="5" w:name="_Toc16492363"/>
      <w:bookmarkStart w:id="6" w:name="_Toc3628234"/>
      <w:bookmarkStart w:id="7" w:name="_Toc28425158"/>
      <w:bookmarkStart w:id="8" w:name="_Toc28425213"/>
      <w:bookmarkStart w:id="9" w:name="_Toc353291115"/>
      <w:r>
        <w:rPr>
          <w:rFonts w:hint="eastAsia" w:ascii="宋体" w:hAnsi="宋体" w:eastAsia="宋体" w:cs="宋体"/>
          <w:sz w:val="28"/>
        </w:rPr>
        <w:t xml:space="preserve">第二章  </w:t>
      </w:r>
      <w:bookmarkEnd w:id="5"/>
      <w:bookmarkEnd w:id="6"/>
      <w:bookmarkEnd w:id="7"/>
      <w:bookmarkEnd w:id="8"/>
      <w:r>
        <w:rPr>
          <w:rFonts w:hint="eastAsia" w:ascii="宋体" w:hAnsi="宋体" w:eastAsia="宋体" w:cs="宋体"/>
          <w:sz w:val="28"/>
        </w:rPr>
        <w:t>薪酬体系与结构</w:t>
      </w:r>
      <w:bookmarkEnd w:id="9"/>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szCs w:val="20"/>
        </w:rPr>
        <w:t>公司的薪酬制度为岗位绩效工资制。</w:t>
      </w:r>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薪酬结构：</w:t>
      </w:r>
    </w:p>
    <w:p>
      <w:pPr>
        <w:pStyle w:val="24"/>
        <w:tabs>
          <w:tab w:val="left" w:pos="1440"/>
        </w:tabs>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员工工资由固定工资、浮动工资两部门组成。</w:t>
      </w:r>
    </w:p>
    <w:p>
      <w:pPr>
        <w:pStyle w:val="24"/>
        <w:tabs>
          <w:tab w:val="left" w:pos="1440"/>
        </w:tabs>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固定工资包括：岗位工资、工龄工资、岗位津贴。固定工资是根据员工的职务、资历、学历、技能等因素确定的、相对固定的工作报酬。</w:t>
      </w:r>
    </w:p>
    <w:p>
      <w:pPr>
        <w:pStyle w:val="24"/>
        <w:tabs>
          <w:tab w:val="left" w:pos="1440"/>
        </w:tabs>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浮动工资包括：效益工资、绩效工资、全勤奖等。浮动工资是根据员工考勤表现、工作绩效及公司经营业绩确定的、不固定的工资报酬，每月调整一次。</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276"/>
        <w:gridCol w:w="1275"/>
        <w:gridCol w:w="1276"/>
        <w:gridCol w:w="1276"/>
        <w:gridCol w:w="1276"/>
        <w:gridCol w:w="992"/>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86" w:type="dxa"/>
            <w:gridSpan w:val="8"/>
            <w:vAlign w:val="center"/>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月薪资总额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6" w:type="dxa"/>
            <w:gridSpan w:val="4"/>
            <w:vAlign w:val="center"/>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固定工资</w:t>
            </w:r>
          </w:p>
        </w:tc>
        <w:tc>
          <w:tcPr>
            <w:tcW w:w="4500" w:type="dxa"/>
            <w:gridSpan w:val="4"/>
            <w:vAlign w:val="center"/>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浮动工资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Align w:val="center"/>
          </w:tcPr>
          <w:p>
            <w:pPr>
              <w:pStyle w:val="24"/>
              <w:tabs>
                <w:tab w:val="left" w:pos="1440"/>
              </w:tabs>
              <w:spacing w:before="0" w:beforeAutospacing="0" w:after="0" w:afterAutospacing="0" w:line="360" w:lineRule="auto"/>
              <w:rPr>
                <w:rFonts w:hint="eastAsia" w:ascii="宋体" w:hAnsi="宋体" w:eastAsia="宋体" w:cs="宋体"/>
              </w:rPr>
            </w:pPr>
          </w:p>
        </w:tc>
        <w:tc>
          <w:tcPr>
            <w:tcW w:w="1276" w:type="dxa"/>
            <w:vAlign w:val="center"/>
          </w:tcPr>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岗位工资</w:t>
            </w:r>
          </w:p>
        </w:tc>
        <w:tc>
          <w:tcPr>
            <w:tcW w:w="1275" w:type="dxa"/>
            <w:vAlign w:val="center"/>
          </w:tcPr>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工龄工资</w:t>
            </w:r>
          </w:p>
        </w:tc>
        <w:tc>
          <w:tcPr>
            <w:tcW w:w="1276" w:type="dxa"/>
            <w:vAlign w:val="center"/>
          </w:tcPr>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岗位津贴</w:t>
            </w:r>
          </w:p>
        </w:tc>
        <w:tc>
          <w:tcPr>
            <w:tcW w:w="1276" w:type="dxa"/>
            <w:tcBorders>
              <w:right w:val="single" w:color="auto" w:sz="4" w:space="0"/>
            </w:tcBorders>
            <w:vAlign w:val="center"/>
          </w:tcPr>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绩效工资</w:t>
            </w:r>
          </w:p>
        </w:tc>
        <w:tc>
          <w:tcPr>
            <w:tcW w:w="1276" w:type="dxa"/>
            <w:tcBorders>
              <w:left w:val="single" w:color="auto" w:sz="4" w:space="0"/>
            </w:tcBorders>
            <w:vAlign w:val="center"/>
          </w:tcPr>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效益工资</w:t>
            </w:r>
          </w:p>
        </w:tc>
        <w:tc>
          <w:tcPr>
            <w:tcW w:w="992" w:type="dxa"/>
            <w:vAlign w:val="center"/>
          </w:tcPr>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全勤奖</w:t>
            </w:r>
          </w:p>
        </w:tc>
        <w:tc>
          <w:tcPr>
            <w:tcW w:w="956" w:type="dxa"/>
            <w:vAlign w:val="center"/>
          </w:tcPr>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奖金</w:t>
            </w:r>
          </w:p>
        </w:tc>
      </w:tr>
    </w:tbl>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基本工资是指根据员工所在职位、能力、经验、学历、价值核定的薪资。是员工生活的基本保障。</w:t>
      </w:r>
    </w:p>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在岗工资是指以岗位劳动责任、劳动强度、劳动条件等评价要素支付的工资。</w:t>
      </w:r>
    </w:p>
    <w:p>
      <w:pPr>
        <w:spacing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效益工资是指按企业经济效益状况支付给员工的工资。（在效益考核实施前，可统一按C等效益工资与其他工资构成的岗位标准工资进行定薪。）</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835"/>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6" w:type="dxa"/>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效益工资等级</w:t>
            </w:r>
          </w:p>
        </w:tc>
        <w:tc>
          <w:tcPr>
            <w:tcW w:w="2835" w:type="dxa"/>
          </w:tcPr>
          <w:p>
            <w:pPr>
              <w:pStyle w:val="24"/>
              <w:tabs>
                <w:tab w:val="left" w:pos="1440"/>
              </w:tabs>
              <w:spacing w:line="360" w:lineRule="auto"/>
              <w:jc w:val="center"/>
              <w:rPr>
                <w:rFonts w:hint="eastAsia" w:ascii="宋体" w:hAnsi="宋体" w:eastAsia="宋体" w:cs="宋体"/>
              </w:rPr>
            </w:pPr>
            <w:r>
              <w:rPr>
                <w:rFonts w:hint="eastAsia" w:ascii="宋体" w:hAnsi="宋体" w:eastAsia="宋体" w:cs="宋体"/>
              </w:rPr>
              <w:t>效益指标达成率</w:t>
            </w:r>
          </w:p>
        </w:tc>
        <w:tc>
          <w:tcPr>
            <w:tcW w:w="3975" w:type="dxa"/>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效益工资计算比例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6" w:type="dxa"/>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A</w:t>
            </w:r>
          </w:p>
        </w:tc>
        <w:tc>
          <w:tcPr>
            <w:tcW w:w="2835" w:type="dxa"/>
          </w:tcPr>
          <w:p>
            <w:pPr>
              <w:pStyle w:val="24"/>
              <w:tabs>
                <w:tab w:val="left" w:pos="1440"/>
              </w:tabs>
              <w:spacing w:line="360" w:lineRule="auto"/>
              <w:jc w:val="center"/>
              <w:rPr>
                <w:rFonts w:hint="eastAsia" w:ascii="宋体" w:hAnsi="宋体" w:eastAsia="宋体" w:cs="宋体"/>
              </w:rPr>
            </w:pPr>
            <w:r>
              <w:rPr>
                <w:rFonts w:hint="eastAsia" w:ascii="宋体" w:hAnsi="宋体" w:eastAsia="宋体" w:cs="宋体"/>
              </w:rPr>
              <w:t>101%-120%</w:t>
            </w:r>
          </w:p>
        </w:tc>
        <w:tc>
          <w:tcPr>
            <w:tcW w:w="3975" w:type="dxa"/>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6" w:type="dxa"/>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B</w:t>
            </w:r>
          </w:p>
        </w:tc>
        <w:tc>
          <w:tcPr>
            <w:tcW w:w="2835" w:type="dxa"/>
          </w:tcPr>
          <w:p>
            <w:pPr>
              <w:pStyle w:val="24"/>
              <w:tabs>
                <w:tab w:val="left" w:pos="1440"/>
              </w:tabs>
              <w:spacing w:line="360" w:lineRule="auto"/>
              <w:jc w:val="center"/>
              <w:rPr>
                <w:rFonts w:hint="eastAsia" w:ascii="宋体" w:hAnsi="宋体" w:eastAsia="宋体" w:cs="宋体"/>
              </w:rPr>
            </w:pPr>
            <w:r>
              <w:rPr>
                <w:rFonts w:hint="eastAsia" w:ascii="宋体" w:hAnsi="宋体" w:eastAsia="宋体" w:cs="宋体"/>
              </w:rPr>
              <w:t>81%-100%</w:t>
            </w:r>
          </w:p>
        </w:tc>
        <w:tc>
          <w:tcPr>
            <w:tcW w:w="3975" w:type="dxa"/>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6" w:type="dxa"/>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C</w:t>
            </w:r>
          </w:p>
        </w:tc>
        <w:tc>
          <w:tcPr>
            <w:tcW w:w="2835" w:type="dxa"/>
          </w:tcPr>
          <w:p>
            <w:pPr>
              <w:pStyle w:val="24"/>
              <w:tabs>
                <w:tab w:val="left" w:pos="1440"/>
              </w:tabs>
              <w:spacing w:line="360" w:lineRule="auto"/>
              <w:jc w:val="center"/>
              <w:rPr>
                <w:rFonts w:hint="eastAsia" w:ascii="宋体" w:hAnsi="宋体" w:eastAsia="宋体" w:cs="宋体"/>
              </w:rPr>
            </w:pPr>
            <w:r>
              <w:rPr>
                <w:rFonts w:hint="eastAsia" w:ascii="宋体" w:hAnsi="宋体" w:eastAsia="宋体" w:cs="宋体"/>
              </w:rPr>
              <w:t>61%-80%</w:t>
            </w:r>
          </w:p>
        </w:tc>
        <w:tc>
          <w:tcPr>
            <w:tcW w:w="3975" w:type="dxa"/>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6" w:type="dxa"/>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D</w:t>
            </w:r>
          </w:p>
        </w:tc>
        <w:tc>
          <w:tcPr>
            <w:tcW w:w="2835" w:type="dxa"/>
          </w:tcPr>
          <w:p>
            <w:pPr>
              <w:pStyle w:val="24"/>
              <w:tabs>
                <w:tab w:val="left" w:pos="1440"/>
              </w:tabs>
              <w:spacing w:line="360" w:lineRule="auto"/>
              <w:jc w:val="center"/>
              <w:rPr>
                <w:rFonts w:hint="eastAsia" w:ascii="宋体" w:hAnsi="宋体" w:eastAsia="宋体" w:cs="宋体"/>
              </w:rPr>
            </w:pPr>
            <w:r>
              <w:rPr>
                <w:rFonts w:hint="eastAsia" w:ascii="宋体" w:hAnsi="宋体" w:eastAsia="宋体" w:cs="宋体"/>
              </w:rPr>
              <w:t>60%及以下</w:t>
            </w:r>
          </w:p>
        </w:tc>
        <w:tc>
          <w:tcPr>
            <w:tcW w:w="3975" w:type="dxa"/>
          </w:tcPr>
          <w:p>
            <w:pPr>
              <w:pStyle w:val="24"/>
              <w:tabs>
                <w:tab w:val="left" w:pos="1440"/>
              </w:tabs>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0</w:t>
            </w:r>
          </w:p>
        </w:tc>
      </w:tr>
    </w:tbl>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绩效工资是指以对员工绩效的有效考核为基础，实现将工资与考核结果相挂钩，公司对该岗位所达成的业绩而予以支付的薪酬部分。</w:t>
      </w:r>
    </w:p>
    <w:p>
      <w:pPr>
        <w:spacing w:line="360" w:lineRule="auto"/>
        <w:rPr>
          <w:rFonts w:hint="eastAsia" w:ascii="宋体" w:hAnsi="宋体" w:eastAsia="宋体" w:cs="宋体"/>
          <w:kern w:val="0"/>
          <w:sz w:val="24"/>
        </w:rPr>
      </w:pPr>
      <w:r>
        <w:rPr>
          <w:rFonts w:hint="eastAsia" w:ascii="宋体" w:hAnsi="宋体" w:eastAsia="宋体" w:cs="宋体"/>
          <w:kern w:val="0"/>
          <w:sz w:val="24"/>
        </w:rPr>
        <w:t>工龄工资：为体现员工本企工作经验和服务年限对于企业的贡献，设工龄工资作为工资的辅助项。工龄工资按实际到职年限，每满一年按100元发放。离职人员因诸多原因又重新回到公司任职，间隔一年以内，其工龄可以延续离职前的工龄，间隔超过一年，其工龄自复职月份起重新计算。</w:t>
      </w:r>
    </w:p>
    <w:p>
      <w:pPr>
        <w:spacing w:line="460" w:lineRule="exact"/>
        <w:rPr>
          <w:rFonts w:hint="eastAsia" w:ascii="宋体" w:hAnsi="宋体" w:eastAsia="宋体" w:cs="宋体"/>
        </w:rPr>
      </w:pPr>
      <w:r>
        <w:rPr>
          <w:rFonts w:hint="eastAsia" w:ascii="宋体" w:hAnsi="宋体" w:eastAsia="宋体" w:cs="宋体"/>
          <w:kern w:val="0"/>
          <w:sz w:val="24"/>
        </w:rPr>
        <w:t>岗位津贴是指对主管以上行使管理职能的岗位或专业技能突出的员工予以的津贴。</w:t>
      </w:r>
    </w:p>
    <w:p>
      <w:pPr>
        <w:pStyle w:val="24"/>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奖金是指公司工资体系以外的奖励，如：总经理特别奖、年终奖、超特殊贡献奖、先进集体、先进个人等。</w:t>
      </w:r>
    </w:p>
    <w:p>
      <w:pPr>
        <w:pStyle w:val="2"/>
        <w:jc w:val="center"/>
        <w:rPr>
          <w:rFonts w:hint="eastAsia" w:ascii="宋体" w:hAnsi="宋体" w:eastAsia="宋体" w:cs="宋体"/>
          <w:sz w:val="28"/>
        </w:rPr>
      </w:pPr>
      <w:bookmarkStart w:id="10" w:name="_Toc353291116"/>
      <w:r>
        <w:rPr>
          <w:rFonts w:hint="eastAsia" w:ascii="宋体" w:hAnsi="宋体" w:eastAsia="宋体" w:cs="宋体"/>
          <w:sz w:val="28"/>
        </w:rPr>
        <w:t>第</w:t>
      </w:r>
      <w:r>
        <w:rPr>
          <w:rFonts w:hint="eastAsia" w:ascii="宋体" w:hAnsi="宋体" w:eastAsia="宋体" w:cs="宋体"/>
          <w:sz w:val="28"/>
        </w:rPr>
        <w:t>三</w:t>
      </w:r>
      <w:r>
        <w:rPr>
          <w:rFonts w:hint="eastAsia" w:ascii="宋体" w:hAnsi="宋体" w:eastAsia="宋体" w:cs="宋体"/>
          <w:sz w:val="28"/>
        </w:rPr>
        <w:t xml:space="preserve">章  </w:t>
      </w:r>
      <w:r>
        <w:rPr>
          <w:rFonts w:hint="eastAsia" w:ascii="宋体" w:hAnsi="宋体" w:eastAsia="宋体" w:cs="宋体"/>
          <w:sz w:val="28"/>
        </w:rPr>
        <w:t>岗位绩效工资制</w:t>
      </w:r>
      <w:bookmarkEnd w:id="10"/>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岗位工资的分类</w:t>
      </w:r>
      <w:r>
        <w:rPr>
          <w:rFonts w:hint="eastAsia" w:ascii="宋体" w:hAnsi="宋体" w:eastAsia="宋体" w:cs="宋体"/>
        </w:rPr>
        <w:t>：</w:t>
      </w:r>
    </w:p>
    <w:p>
      <w:pPr>
        <w:pStyle w:val="2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bCs/>
        </w:rPr>
        <w:t>根据</w:t>
      </w:r>
      <w:r>
        <w:rPr>
          <w:rFonts w:hint="eastAsia" w:ascii="宋体" w:hAnsi="宋体" w:eastAsia="宋体" w:cs="宋体"/>
          <w:bCs/>
        </w:rPr>
        <w:t>岗位</w:t>
      </w:r>
      <w:r>
        <w:rPr>
          <w:rFonts w:hint="eastAsia" w:ascii="宋体" w:hAnsi="宋体" w:eastAsia="宋体" w:cs="宋体"/>
          <w:bCs/>
        </w:rPr>
        <w:t>工作性质，将</w:t>
      </w:r>
      <w:r>
        <w:rPr>
          <w:rFonts w:hint="eastAsia" w:ascii="宋体" w:hAnsi="宋体" w:eastAsia="宋体" w:cs="宋体"/>
          <w:bCs/>
        </w:rPr>
        <w:t>公司</w:t>
      </w:r>
      <w:r>
        <w:rPr>
          <w:rFonts w:hint="eastAsia" w:ascii="宋体" w:hAnsi="宋体" w:eastAsia="宋体" w:cs="宋体"/>
          <w:bCs/>
        </w:rPr>
        <w:t>工作岗位</w:t>
      </w:r>
      <w:r>
        <w:rPr>
          <w:rFonts w:hint="eastAsia" w:ascii="宋体" w:hAnsi="宋体" w:eastAsia="宋体" w:cs="宋体"/>
          <w:bCs/>
        </w:rPr>
        <w:t>进行分类，</w:t>
      </w:r>
      <w:r>
        <w:rPr>
          <w:rFonts w:hint="eastAsia" w:ascii="宋体" w:hAnsi="宋体" w:eastAsia="宋体" w:cs="宋体"/>
          <w:bCs/>
        </w:rPr>
        <w:t>归入</w:t>
      </w:r>
      <w:r>
        <w:rPr>
          <w:rFonts w:hint="eastAsia" w:ascii="宋体" w:hAnsi="宋体" w:eastAsia="宋体" w:cs="宋体"/>
          <w:bCs/>
        </w:rPr>
        <w:t>到</w:t>
      </w:r>
      <w:r>
        <w:rPr>
          <w:rFonts w:hint="eastAsia" w:ascii="宋体" w:hAnsi="宋体" w:eastAsia="宋体" w:cs="宋体"/>
          <w:bCs/>
          <w:color w:val="000000"/>
          <w:shd w:val="pct10" w:color="auto" w:fill="FFFFFF"/>
        </w:rPr>
        <w:t>管理类</w:t>
      </w:r>
      <w:r>
        <w:rPr>
          <w:rFonts w:hint="eastAsia" w:ascii="宋体" w:hAnsi="宋体" w:eastAsia="宋体" w:cs="宋体"/>
          <w:bCs/>
        </w:rPr>
        <w:t>岗位、</w:t>
      </w:r>
      <w:r>
        <w:rPr>
          <w:rFonts w:hint="eastAsia" w:ascii="宋体" w:hAnsi="宋体" w:eastAsia="宋体" w:cs="宋体"/>
          <w:bCs/>
          <w:color w:val="000000"/>
          <w:shd w:val="pct10" w:color="auto" w:fill="FFFFFF"/>
        </w:rPr>
        <w:t>技术类</w:t>
      </w:r>
      <w:r>
        <w:rPr>
          <w:rFonts w:hint="eastAsia" w:ascii="宋体" w:hAnsi="宋体" w:eastAsia="宋体" w:cs="宋体"/>
          <w:bCs/>
        </w:rPr>
        <w:t>岗位</w:t>
      </w:r>
      <w:r>
        <w:rPr>
          <w:rFonts w:hint="eastAsia" w:ascii="宋体" w:hAnsi="宋体" w:eastAsia="宋体" w:cs="宋体"/>
          <w:bCs/>
        </w:rPr>
        <w:t>2大类</w:t>
      </w:r>
      <w:r>
        <w:rPr>
          <w:rFonts w:hint="eastAsia" w:ascii="宋体" w:hAnsi="宋体" w:eastAsia="宋体" w:cs="宋体"/>
        </w:rPr>
        <w:t>。</w:t>
      </w:r>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bCs/>
        </w:rPr>
        <w:t>岗位工资等级：</w:t>
      </w:r>
    </w:p>
    <w:p>
      <w:pPr>
        <w:pStyle w:val="24"/>
        <w:tabs>
          <w:tab w:val="left" w:pos="1440"/>
        </w:tabs>
        <w:spacing w:before="0" w:beforeAutospacing="0" w:after="0" w:afterAutospacing="0" w:line="360" w:lineRule="auto"/>
        <w:ind w:firstLine="480" w:firstLineChars="200"/>
        <w:rPr>
          <w:rFonts w:hint="eastAsia" w:ascii="宋体" w:hAnsi="宋体" w:eastAsia="宋体" w:cs="宋体"/>
          <w:bCs/>
        </w:rPr>
      </w:pPr>
      <w:r>
        <w:rPr>
          <w:rFonts w:hint="eastAsia" w:ascii="宋体" w:hAnsi="宋体" w:eastAsia="宋体" w:cs="宋体"/>
          <w:bCs/>
        </w:rPr>
        <w:t>为反映不同岗位的价值区别和体现公平，每个</w:t>
      </w:r>
      <w:r>
        <w:rPr>
          <w:rFonts w:hint="eastAsia" w:ascii="宋体" w:hAnsi="宋体" w:eastAsia="宋体" w:cs="宋体"/>
          <w:bCs/>
        </w:rPr>
        <w:t>岗位类别</w:t>
      </w:r>
      <w:r>
        <w:rPr>
          <w:rFonts w:hint="eastAsia" w:ascii="宋体" w:hAnsi="宋体" w:eastAsia="宋体" w:cs="宋体"/>
          <w:bCs/>
        </w:rPr>
        <w:t>中，将</w:t>
      </w:r>
      <w:r>
        <w:rPr>
          <w:rFonts w:hint="eastAsia" w:ascii="宋体" w:hAnsi="宋体" w:eastAsia="宋体" w:cs="宋体"/>
          <w:bCs/>
        </w:rPr>
        <w:t>同一职系中</w:t>
      </w:r>
      <w:r>
        <w:rPr>
          <w:rFonts w:hint="eastAsia" w:ascii="宋体" w:hAnsi="宋体" w:eastAsia="宋体" w:cs="宋体"/>
          <w:bCs/>
        </w:rPr>
        <w:t>不同的岗位归入</w:t>
      </w:r>
      <w:r>
        <w:rPr>
          <w:rFonts w:hint="eastAsia" w:ascii="宋体" w:hAnsi="宋体" w:eastAsia="宋体" w:cs="宋体"/>
          <w:bCs/>
        </w:rPr>
        <w:t>不同的等级</w:t>
      </w:r>
      <w:r>
        <w:rPr>
          <w:rFonts w:hint="eastAsia" w:ascii="宋体" w:hAnsi="宋体" w:eastAsia="宋体" w:cs="宋体"/>
          <w:bCs/>
        </w:rPr>
        <w:t>，代表岗位由高到低的价值区别</w:t>
      </w:r>
      <w:r>
        <w:rPr>
          <w:rFonts w:hint="eastAsia" w:ascii="宋体" w:hAnsi="宋体" w:eastAsia="宋体" w:cs="宋体"/>
          <w:bCs/>
        </w:rPr>
        <w:t>（详见附表一）。</w:t>
      </w:r>
    </w:p>
    <w:p>
      <w:pPr>
        <w:pStyle w:val="24"/>
        <w:tabs>
          <w:tab w:val="left" w:pos="1440"/>
        </w:tabs>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bCs/>
        </w:rPr>
        <w:t>人力资源部每年将根据公司的发展和各岗位性质、内容的变化对岗位的等级提出调整建议，经公司审议批准后执行。</w:t>
      </w:r>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bCs/>
        </w:rPr>
        <w:t>个人工资档次：</w:t>
      </w:r>
    </w:p>
    <w:p>
      <w:pPr>
        <w:pStyle w:val="2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bCs/>
        </w:rPr>
        <w:t>为体现相同岗位</w:t>
      </w:r>
      <w:r>
        <w:rPr>
          <w:rFonts w:hint="eastAsia" w:ascii="宋体" w:hAnsi="宋体" w:eastAsia="宋体" w:cs="宋体"/>
          <w:bCs/>
        </w:rPr>
        <w:t>上</w:t>
      </w:r>
      <w:r>
        <w:rPr>
          <w:rFonts w:hint="eastAsia" w:ascii="宋体" w:hAnsi="宋体" w:eastAsia="宋体" w:cs="宋体"/>
          <w:bCs/>
        </w:rPr>
        <w:t>不同</w:t>
      </w:r>
      <w:r>
        <w:rPr>
          <w:rFonts w:hint="eastAsia" w:ascii="宋体" w:hAnsi="宋体" w:eastAsia="宋体" w:cs="宋体"/>
          <w:bCs/>
        </w:rPr>
        <w:t>能力和水平的</w:t>
      </w:r>
      <w:r>
        <w:rPr>
          <w:rFonts w:hint="eastAsia" w:ascii="宋体" w:hAnsi="宋体" w:eastAsia="宋体" w:cs="宋体"/>
          <w:bCs/>
        </w:rPr>
        <w:t>员工</w:t>
      </w:r>
      <w:r>
        <w:rPr>
          <w:rFonts w:hint="eastAsia" w:ascii="宋体" w:hAnsi="宋体" w:eastAsia="宋体" w:cs="宋体"/>
          <w:bCs/>
        </w:rPr>
        <w:t>个人价值差距，并</w:t>
      </w:r>
      <w:r>
        <w:rPr>
          <w:rFonts w:hint="eastAsia" w:ascii="宋体" w:hAnsi="宋体" w:eastAsia="宋体" w:cs="宋体"/>
          <w:bCs/>
        </w:rPr>
        <w:t>给员工提供合理的晋级空间，</w:t>
      </w:r>
      <w:r>
        <w:rPr>
          <w:rFonts w:hint="eastAsia" w:ascii="宋体" w:hAnsi="宋体" w:eastAsia="宋体" w:cs="宋体"/>
          <w:bCs/>
        </w:rPr>
        <w:t>每个岗位等从低到高</w:t>
      </w:r>
      <w:r>
        <w:rPr>
          <w:rFonts w:hint="eastAsia" w:ascii="宋体" w:hAnsi="宋体" w:eastAsia="宋体" w:cs="宋体"/>
          <w:bCs/>
        </w:rPr>
        <w:t>均分为</w:t>
      </w:r>
      <w:r>
        <w:rPr>
          <w:rFonts w:hint="eastAsia" w:ascii="宋体" w:hAnsi="宋体" w:eastAsia="宋体" w:cs="宋体"/>
          <w:bCs/>
        </w:rPr>
        <w:t>4-6个</w:t>
      </w:r>
      <w:r>
        <w:rPr>
          <w:rFonts w:hint="eastAsia" w:ascii="宋体" w:hAnsi="宋体" w:eastAsia="宋体" w:cs="宋体"/>
          <w:bCs/>
        </w:rPr>
        <w:t>档</w:t>
      </w:r>
      <w:r>
        <w:rPr>
          <w:rFonts w:hint="eastAsia" w:ascii="宋体" w:hAnsi="宋体" w:eastAsia="宋体" w:cs="宋体"/>
          <w:bCs/>
        </w:rPr>
        <w:t>次</w:t>
      </w:r>
      <w:r>
        <w:rPr>
          <w:rFonts w:hint="eastAsia" w:ascii="宋体" w:hAnsi="宋体" w:eastAsia="宋体" w:cs="宋体"/>
          <w:bCs/>
        </w:rPr>
        <w:t>，</w:t>
      </w:r>
      <w:r>
        <w:rPr>
          <w:rFonts w:hint="eastAsia" w:ascii="宋体" w:hAnsi="宋体" w:eastAsia="宋体" w:cs="宋体"/>
          <w:bCs/>
        </w:rPr>
        <w:t>形成公司的岗位工资体系（详见附表二）</w:t>
      </w:r>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员工岗位档次的确定</w:t>
      </w:r>
    </w:p>
    <w:p>
      <w:pPr>
        <w:pStyle w:val="24"/>
        <w:tabs>
          <w:tab w:val="left" w:pos="1440"/>
        </w:tabs>
        <w:spacing w:before="0" w:beforeAutospacing="0" w:after="0" w:afterAutospacing="0" w:line="360" w:lineRule="auto"/>
        <w:ind w:left="480"/>
        <w:rPr>
          <w:rFonts w:hint="eastAsia" w:ascii="宋体" w:hAnsi="宋体" w:eastAsia="宋体" w:cs="宋体"/>
        </w:rPr>
      </w:pPr>
      <w:r>
        <w:rPr>
          <w:rFonts w:hint="eastAsia" w:ascii="宋体" w:hAnsi="宋体" w:eastAsia="宋体" w:cs="宋体"/>
        </w:rPr>
        <w:t>1、原则上，员工试用期满或入职新岗位晋升薪酬等级的，且符合任职最低要求条件的，其档次均从最低档开始。</w:t>
      </w:r>
    </w:p>
    <w:p>
      <w:pPr>
        <w:numPr>
          <w:ilvl w:val="0"/>
          <w:numId w:val="2"/>
        </w:numPr>
        <w:spacing w:line="360" w:lineRule="auto"/>
        <w:rPr>
          <w:rFonts w:hint="eastAsia" w:ascii="宋体" w:hAnsi="宋体" w:eastAsia="宋体" w:cs="宋体"/>
          <w:sz w:val="24"/>
        </w:rPr>
      </w:pPr>
      <w:r>
        <w:rPr>
          <w:rFonts w:hint="eastAsia" w:ascii="宋体" w:hAnsi="宋体" w:eastAsia="宋体" w:cs="宋体"/>
          <w:sz w:val="24"/>
        </w:rPr>
        <w:t>任职的学历条件或经验条件低于任职条件的，按所在岗位对应等级的最低档下调一档起薪。</w:t>
      </w:r>
    </w:p>
    <w:p>
      <w:pPr>
        <w:numPr>
          <w:ilvl w:val="0"/>
          <w:numId w:val="2"/>
        </w:numPr>
        <w:spacing w:line="360" w:lineRule="auto"/>
        <w:rPr>
          <w:rFonts w:hint="eastAsia" w:ascii="宋体" w:hAnsi="宋体" w:eastAsia="宋体" w:cs="宋体"/>
          <w:sz w:val="24"/>
        </w:rPr>
      </w:pPr>
      <w:r>
        <w:rPr>
          <w:rFonts w:hint="eastAsia" w:ascii="宋体" w:hAnsi="宋体" w:eastAsia="宋体" w:cs="宋体"/>
          <w:sz w:val="24"/>
        </w:rPr>
        <w:t>岗位级别晋升中，原工资高于新岗位级别最低工资的，按原工资级别上调一档；任职学历、经验或能力不够的工资保持不变。</w:t>
      </w:r>
    </w:p>
    <w:p>
      <w:pPr>
        <w:numPr>
          <w:ilvl w:val="0"/>
          <w:numId w:val="2"/>
        </w:numPr>
        <w:spacing w:line="360" w:lineRule="auto"/>
        <w:rPr>
          <w:rFonts w:hint="eastAsia" w:ascii="宋体" w:hAnsi="宋体" w:eastAsia="宋体" w:cs="宋体"/>
          <w:sz w:val="24"/>
        </w:rPr>
      </w:pPr>
      <w:r>
        <w:rPr>
          <w:rFonts w:hint="eastAsia" w:ascii="宋体" w:hAnsi="宋体" w:eastAsia="宋体" w:cs="宋体"/>
          <w:sz w:val="24"/>
        </w:rPr>
        <w:t>符合任职条件，其中学历条件和工作经验条件高于任职要求的，员工工资可以按所在职系对应岗位工资的最低档上调一级起薪。</w:t>
      </w:r>
    </w:p>
    <w:p>
      <w:pPr>
        <w:numPr>
          <w:ilvl w:val="0"/>
          <w:numId w:val="2"/>
        </w:numPr>
        <w:spacing w:line="360" w:lineRule="auto"/>
        <w:rPr>
          <w:rFonts w:hint="eastAsia" w:ascii="宋体" w:hAnsi="宋体" w:eastAsia="宋体" w:cs="宋体"/>
          <w:sz w:val="24"/>
        </w:rPr>
      </w:pPr>
      <w:r>
        <w:rPr>
          <w:rFonts w:hint="eastAsia" w:ascii="宋体" w:hAnsi="宋体" w:eastAsia="宋体" w:cs="宋体"/>
          <w:sz w:val="24"/>
        </w:rPr>
        <w:t>对工作能力特别强或工作表现特别优秀的员工工资，经评议可高于所在职系对应的档次起薪，但必须经过公司的严格审核。</w:t>
      </w:r>
    </w:p>
    <w:p>
      <w:pPr>
        <w:numPr>
          <w:ilvl w:val="0"/>
          <w:numId w:val="2"/>
        </w:numPr>
        <w:spacing w:line="360" w:lineRule="auto"/>
        <w:rPr>
          <w:rFonts w:hint="eastAsia" w:ascii="宋体" w:hAnsi="宋体" w:eastAsia="宋体" w:cs="宋体"/>
          <w:sz w:val="24"/>
        </w:rPr>
      </w:pPr>
      <w:r>
        <w:rPr>
          <w:rFonts w:hint="eastAsia" w:ascii="宋体" w:hAnsi="宋体" w:eastAsia="宋体" w:cs="宋体"/>
          <w:sz w:val="24"/>
        </w:rPr>
        <w:t>同等条件下（经验、能力、学历），新聘员工的薪资应低于至多等同于同级别老员工的薪资水平。</w:t>
      </w:r>
    </w:p>
    <w:p>
      <w:pPr>
        <w:pStyle w:val="24"/>
        <w:numPr>
          <w:ilvl w:val="0"/>
          <w:numId w:val="1"/>
        </w:numPr>
        <w:tabs>
          <w:tab w:val="left" w:pos="1440"/>
        </w:tabs>
        <w:spacing w:before="0" w:beforeAutospacing="0" w:after="0" w:afterAutospacing="0" w:line="360" w:lineRule="auto"/>
        <w:rPr>
          <w:rFonts w:hint="eastAsia" w:ascii="宋体" w:hAnsi="宋体" w:eastAsia="宋体" w:cs="宋体"/>
        </w:rPr>
      </w:pPr>
      <w:r>
        <w:rPr>
          <w:rFonts w:hint="eastAsia" w:ascii="宋体" w:hAnsi="宋体" w:eastAsia="宋体" w:cs="宋体"/>
        </w:rPr>
        <w:t>岗位</w:t>
      </w:r>
      <w:r>
        <w:rPr>
          <w:rFonts w:hint="eastAsia" w:ascii="宋体" w:hAnsi="宋体" w:eastAsia="宋体" w:cs="宋体"/>
        </w:rPr>
        <w:t>工资的调整：分为公司整体调整和个别调整</w:t>
      </w:r>
      <w:r>
        <w:rPr>
          <w:rFonts w:hint="eastAsia" w:ascii="宋体" w:hAnsi="宋体" w:eastAsia="宋体" w:cs="宋体"/>
        </w:rPr>
        <w:t>。</w:t>
      </w:r>
    </w:p>
    <w:p>
      <w:pPr>
        <w:numPr>
          <w:ilvl w:val="0"/>
          <w:numId w:val="1"/>
        </w:numPr>
        <w:tabs>
          <w:tab w:val="left" w:pos="540"/>
          <w:tab w:val="left" w:pos="1080"/>
          <w:tab w:val="left" w:pos="1918"/>
          <w:tab w:val="clear" w:pos="1320"/>
        </w:tabs>
        <w:spacing w:line="360" w:lineRule="auto"/>
        <w:ind w:left="0" w:firstLine="480"/>
        <w:rPr>
          <w:rFonts w:hint="eastAsia" w:ascii="宋体" w:hAnsi="宋体" w:eastAsia="宋体" w:cs="宋体"/>
          <w:sz w:val="24"/>
        </w:rPr>
      </w:pPr>
      <w:r>
        <w:rPr>
          <w:rFonts w:hint="eastAsia" w:ascii="宋体" w:hAnsi="宋体" w:eastAsia="宋体" w:cs="宋体"/>
          <w:sz w:val="24"/>
        </w:rPr>
        <w:t>整体调整：公司依据年度内实现的利润和综合经营业绩，物价水平统一调整岗位工资水平。</w:t>
      </w:r>
    </w:p>
    <w:p>
      <w:pPr>
        <w:numPr>
          <w:ilvl w:val="0"/>
          <w:numId w:val="1"/>
        </w:numPr>
        <w:tabs>
          <w:tab w:val="left" w:pos="540"/>
          <w:tab w:val="left" w:pos="1080"/>
          <w:tab w:val="left" w:pos="1918"/>
          <w:tab w:val="clear" w:pos="1320"/>
        </w:tabs>
        <w:spacing w:line="360" w:lineRule="auto"/>
        <w:ind w:left="0" w:firstLine="480"/>
        <w:rPr>
          <w:rFonts w:hint="eastAsia" w:ascii="宋体" w:hAnsi="宋体" w:eastAsia="宋体" w:cs="宋体"/>
          <w:sz w:val="24"/>
        </w:rPr>
      </w:pPr>
      <w:r>
        <w:rPr>
          <w:rFonts w:hint="eastAsia" w:ascii="宋体" w:hAnsi="宋体" w:eastAsia="宋体" w:cs="宋体"/>
          <w:sz w:val="24"/>
        </w:rPr>
        <w:t>个别调整：根据员工个人绩效考核结果、个人综合能力和岗位变动情况确定，具体有以下几种方式。</w:t>
      </w:r>
    </w:p>
    <w:p>
      <w:pPr>
        <w:numPr>
          <w:ilvl w:val="0"/>
          <w:numId w:val="3"/>
        </w:numPr>
        <w:spacing w:line="360" w:lineRule="auto"/>
        <w:ind w:left="0" w:firstLine="567"/>
        <w:rPr>
          <w:rFonts w:hint="eastAsia" w:ascii="宋体" w:hAnsi="宋体" w:eastAsia="宋体" w:cs="宋体"/>
          <w:sz w:val="24"/>
        </w:rPr>
      </w:pPr>
      <w:r>
        <w:rPr>
          <w:rFonts w:hint="eastAsia" w:ascii="宋体" w:hAnsi="宋体" w:eastAsia="宋体" w:cs="宋体"/>
          <w:sz w:val="24"/>
        </w:rPr>
        <w:t>考核调整：年终根据综合考核评议进行工资调整。</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工资档次晋升：</w:t>
      </w:r>
    </w:p>
    <w:p>
      <w:pPr>
        <w:pStyle w:val="24"/>
        <w:spacing w:before="0" w:beforeAutospacing="0" w:after="0" w:afterAutospacing="0" w:line="360" w:lineRule="auto"/>
        <w:ind w:left="481" w:leftChars="229" w:firstLine="120" w:firstLineChars="50"/>
        <w:rPr>
          <w:rFonts w:hint="eastAsia" w:ascii="宋体" w:hAnsi="宋体" w:eastAsia="宋体" w:cs="宋体"/>
          <w:color w:val="FF0000"/>
        </w:rPr>
      </w:pPr>
      <w:r>
        <w:rPr>
          <w:rFonts w:hint="eastAsia" w:ascii="宋体" w:hAnsi="宋体" w:eastAsia="宋体" w:cs="宋体"/>
        </w:rPr>
        <w:t>年内个人累计5次的绩效考核成绩为C或以上，下年度起基本工资上调一档或二档；</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工资档次下调：</w:t>
      </w:r>
    </w:p>
    <w:p>
      <w:pPr>
        <w:spacing w:line="360" w:lineRule="auto"/>
        <w:ind w:left="600"/>
        <w:rPr>
          <w:rFonts w:hint="eastAsia" w:ascii="宋体" w:hAnsi="宋体" w:eastAsia="宋体" w:cs="宋体"/>
          <w:kern w:val="0"/>
          <w:sz w:val="24"/>
        </w:rPr>
      </w:pPr>
      <w:r>
        <w:rPr>
          <w:rFonts w:hint="eastAsia" w:ascii="宋体" w:hAnsi="宋体" w:eastAsia="宋体" w:cs="宋体"/>
          <w:kern w:val="0"/>
          <w:sz w:val="24"/>
        </w:rPr>
        <w:t>年内个人累计3次的绩效考核成绩为E，视情况调整其岗位、降职或进入待岗再培训，经过岗位要求考核后公司再考虑重新安排其上岗.</w:t>
      </w:r>
    </w:p>
    <w:p>
      <w:pPr>
        <w:numPr>
          <w:ilvl w:val="0"/>
          <w:numId w:val="3"/>
        </w:numPr>
        <w:spacing w:line="360" w:lineRule="auto"/>
        <w:ind w:left="0" w:firstLine="567"/>
        <w:rPr>
          <w:rFonts w:hint="eastAsia" w:ascii="宋体" w:hAnsi="宋体" w:eastAsia="宋体" w:cs="宋体"/>
          <w:sz w:val="24"/>
        </w:rPr>
      </w:pPr>
      <w:r>
        <w:rPr>
          <w:rFonts w:hint="eastAsia" w:ascii="宋体" w:hAnsi="宋体" w:eastAsia="宋体" w:cs="宋体"/>
          <w:sz w:val="24"/>
        </w:rPr>
        <w:t>奖励调整：对做出突出贡献的，或者被授予特殊荣誉的，经公司评议可上调1-2档工资。</w:t>
      </w:r>
    </w:p>
    <w:p>
      <w:pPr>
        <w:pStyle w:val="9"/>
        <w:spacing w:line="500" w:lineRule="atLeast"/>
        <w:ind w:left="0" w:leftChars="0" w:right="-256"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如：在技术创新、市场拓展、内部管理等方面做出特殊贡献或重大贡献者，或者非工作范围内合理化建议被采纳后，取得显著经济效益者。</w:t>
      </w:r>
    </w:p>
    <w:p>
      <w:pPr>
        <w:numPr>
          <w:ilvl w:val="0"/>
          <w:numId w:val="3"/>
        </w:numPr>
        <w:spacing w:line="360" w:lineRule="auto"/>
        <w:ind w:left="0" w:firstLine="567"/>
        <w:rPr>
          <w:rFonts w:hint="eastAsia" w:ascii="宋体" w:hAnsi="宋体" w:eastAsia="宋体" w:cs="宋体"/>
          <w:sz w:val="24"/>
        </w:rPr>
      </w:pPr>
      <w:r>
        <w:rPr>
          <w:rFonts w:hint="eastAsia" w:ascii="宋体" w:hAnsi="宋体" w:eastAsia="宋体" w:cs="宋体"/>
          <w:sz w:val="24"/>
        </w:rPr>
        <w:t>处罚调整：对受到公司记过及以上处分的员工可以予以降低工资档次甚至级别的处罚。</w:t>
      </w:r>
    </w:p>
    <w:p>
      <w:pPr>
        <w:spacing w:line="360" w:lineRule="auto"/>
        <w:rPr>
          <w:rFonts w:hint="eastAsia" w:ascii="宋体" w:hAnsi="宋体" w:eastAsia="宋体" w:cs="宋体"/>
          <w:sz w:val="24"/>
        </w:rPr>
      </w:pPr>
      <w:r>
        <w:rPr>
          <w:rFonts w:hint="eastAsia" w:ascii="宋体" w:hAnsi="宋体" w:eastAsia="宋体" w:cs="宋体"/>
          <w:sz w:val="24"/>
        </w:rPr>
        <w:t xml:space="preserve">    以上调整都由人力资源部年终或者定期根据公司情况及需要提出拟调整人员名单和建议并报总经理批准。</w:t>
      </w:r>
    </w:p>
    <w:p>
      <w:pPr>
        <w:numPr>
          <w:ilvl w:val="0"/>
          <w:numId w:val="1"/>
        </w:numPr>
        <w:tabs>
          <w:tab w:val="left" w:pos="1680"/>
        </w:tabs>
        <w:spacing w:line="360" w:lineRule="auto"/>
        <w:rPr>
          <w:rFonts w:hint="eastAsia" w:ascii="宋体" w:hAnsi="宋体" w:eastAsia="宋体" w:cs="宋体"/>
          <w:sz w:val="24"/>
        </w:rPr>
      </w:pPr>
      <w:r>
        <w:rPr>
          <w:rFonts w:hint="eastAsia" w:ascii="宋体" w:hAnsi="宋体" w:eastAsia="宋体" w:cs="宋体"/>
          <w:sz w:val="24"/>
        </w:rPr>
        <w:t>岗位工资的用途：</w:t>
      </w:r>
    </w:p>
    <w:p>
      <w:pPr>
        <w:spacing w:line="360" w:lineRule="auto"/>
        <w:ind w:firstLine="475" w:firstLineChars="198"/>
        <w:rPr>
          <w:rFonts w:hint="eastAsia" w:ascii="宋体" w:hAnsi="宋体" w:eastAsia="宋体" w:cs="宋体"/>
          <w:sz w:val="24"/>
        </w:rPr>
      </w:pPr>
      <w:r>
        <w:rPr>
          <w:rFonts w:hint="eastAsia" w:ascii="宋体" w:hAnsi="宋体" w:eastAsia="宋体" w:cs="宋体"/>
          <w:sz w:val="24"/>
        </w:rPr>
        <w:t>岗位工资作为以下项目的计算基数：</w:t>
      </w:r>
    </w:p>
    <w:p>
      <w:pPr>
        <w:numPr>
          <w:ilvl w:val="0"/>
          <w:numId w:val="4"/>
        </w:numPr>
        <w:tabs>
          <w:tab w:val="left" w:pos="1204"/>
        </w:tabs>
        <w:spacing w:line="360" w:lineRule="auto"/>
        <w:rPr>
          <w:rFonts w:hint="eastAsia" w:ascii="宋体" w:hAnsi="宋体" w:eastAsia="宋体" w:cs="宋体"/>
          <w:color w:val="000000"/>
          <w:sz w:val="24"/>
        </w:rPr>
      </w:pPr>
      <w:r>
        <w:rPr>
          <w:rFonts w:hint="eastAsia" w:ascii="宋体" w:hAnsi="宋体" w:eastAsia="宋体" w:cs="宋体"/>
          <w:color w:val="000000"/>
          <w:sz w:val="24"/>
        </w:rPr>
        <w:t>加班费的计算基数；</w:t>
      </w:r>
    </w:p>
    <w:p>
      <w:pPr>
        <w:numPr>
          <w:ilvl w:val="0"/>
          <w:numId w:val="4"/>
        </w:numPr>
        <w:tabs>
          <w:tab w:val="left" w:pos="1204"/>
        </w:tabs>
        <w:spacing w:line="360" w:lineRule="auto"/>
        <w:rPr>
          <w:rFonts w:hint="eastAsia" w:ascii="宋体" w:hAnsi="宋体" w:eastAsia="宋体" w:cs="宋体"/>
          <w:color w:val="000000"/>
          <w:sz w:val="24"/>
        </w:rPr>
      </w:pPr>
      <w:r>
        <w:rPr>
          <w:rFonts w:hint="eastAsia" w:ascii="宋体" w:hAnsi="宋体" w:eastAsia="宋体" w:cs="宋体"/>
          <w:color w:val="000000"/>
          <w:sz w:val="24"/>
        </w:rPr>
        <w:t>事病假工资计算基数；</w:t>
      </w:r>
    </w:p>
    <w:p>
      <w:pPr>
        <w:numPr>
          <w:ilvl w:val="0"/>
          <w:numId w:val="4"/>
        </w:numPr>
        <w:tabs>
          <w:tab w:val="left" w:pos="1204"/>
        </w:tabs>
        <w:spacing w:line="360" w:lineRule="auto"/>
        <w:rPr>
          <w:rFonts w:hint="eastAsia" w:ascii="宋体" w:hAnsi="宋体" w:eastAsia="宋体" w:cs="宋体"/>
          <w:color w:val="000000"/>
          <w:sz w:val="24"/>
        </w:rPr>
      </w:pPr>
      <w:r>
        <w:rPr>
          <w:rFonts w:hint="eastAsia" w:ascii="宋体" w:hAnsi="宋体" w:eastAsia="宋体" w:cs="宋体"/>
          <w:color w:val="000000"/>
          <w:sz w:val="24"/>
        </w:rPr>
        <w:t>外派受训人员工资计算基数；</w:t>
      </w:r>
    </w:p>
    <w:p>
      <w:pPr>
        <w:numPr>
          <w:ilvl w:val="0"/>
          <w:numId w:val="4"/>
        </w:numPr>
        <w:tabs>
          <w:tab w:val="left" w:pos="1204"/>
        </w:tabs>
        <w:spacing w:line="360" w:lineRule="auto"/>
        <w:rPr>
          <w:rFonts w:hint="eastAsia" w:ascii="宋体" w:hAnsi="宋体" w:eastAsia="宋体" w:cs="宋体"/>
          <w:sz w:val="24"/>
        </w:rPr>
      </w:pPr>
      <w:r>
        <w:rPr>
          <w:rFonts w:hint="eastAsia" w:ascii="宋体" w:hAnsi="宋体" w:eastAsia="宋体" w:cs="宋体"/>
          <w:sz w:val="24"/>
        </w:rPr>
        <w:t>其他基数。</w:t>
      </w:r>
    </w:p>
    <w:p>
      <w:pPr>
        <w:pStyle w:val="2"/>
        <w:jc w:val="center"/>
        <w:rPr>
          <w:rFonts w:hint="eastAsia" w:ascii="宋体" w:hAnsi="宋体" w:eastAsia="宋体" w:cs="宋体"/>
          <w:sz w:val="28"/>
        </w:rPr>
      </w:pPr>
      <w:bookmarkStart w:id="11" w:name="_Toc353291117"/>
      <w:r>
        <w:rPr>
          <w:rFonts w:hint="eastAsia" w:ascii="宋体" w:hAnsi="宋体" w:eastAsia="宋体" w:cs="宋体"/>
          <w:sz w:val="28"/>
        </w:rPr>
        <w:t>第</w:t>
      </w:r>
      <w:r>
        <w:rPr>
          <w:rFonts w:hint="eastAsia" w:ascii="宋体" w:hAnsi="宋体" w:eastAsia="宋体" w:cs="宋体"/>
          <w:sz w:val="28"/>
        </w:rPr>
        <w:t>四</w:t>
      </w:r>
      <w:r>
        <w:rPr>
          <w:rFonts w:hint="eastAsia" w:ascii="宋体" w:hAnsi="宋体" w:eastAsia="宋体" w:cs="宋体"/>
          <w:sz w:val="28"/>
        </w:rPr>
        <w:t xml:space="preserve">章  </w:t>
      </w:r>
      <w:r>
        <w:rPr>
          <w:rFonts w:hint="eastAsia" w:ascii="宋体" w:hAnsi="宋体" w:eastAsia="宋体" w:cs="宋体"/>
          <w:sz w:val="28"/>
        </w:rPr>
        <w:t>绩效工资</w:t>
      </w:r>
      <w:bookmarkEnd w:id="11"/>
    </w:p>
    <w:p>
      <w:pPr>
        <w:numPr>
          <w:ilvl w:val="0"/>
          <w:numId w:val="1"/>
        </w:numPr>
        <w:tabs>
          <w:tab w:val="left" w:pos="540"/>
          <w:tab w:val="left" w:pos="1918"/>
        </w:tabs>
        <w:spacing w:line="360" w:lineRule="auto"/>
        <w:rPr>
          <w:rFonts w:hint="eastAsia" w:ascii="宋体" w:hAnsi="宋体" w:eastAsia="宋体" w:cs="宋体"/>
          <w:sz w:val="24"/>
        </w:rPr>
      </w:pPr>
      <w:r>
        <w:rPr>
          <w:rFonts w:hint="eastAsia" w:ascii="宋体" w:hAnsi="宋体" w:eastAsia="宋体" w:cs="宋体"/>
          <w:sz w:val="24"/>
        </w:rPr>
        <w:t>绩效工资</w:t>
      </w:r>
    </w:p>
    <w:p>
      <w:pPr>
        <w:tabs>
          <w:tab w:val="left" w:pos="1918"/>
        </w:tabs>
        <w:spacing w:line="360" w:lineRule="auto"/>
        <w:ind w:firstLine="480" w:firstLineChars="200"/>
        <w:rPr>
          <w:rFonts w:hint="eastAsia" w:ascii="宋体" w:hAnsi="宋体" w:eastAsia="宋体" w:cs="宋体"/>
          <w:sz w:val="24"/>
        </w:rPr>
      </w:pPr>
      <w:r>
        <w:rPr>
          <w:rFonts w:hint="eastAsia" w:ascii="宋体" w:hAnsi="宋体" w:eastAsia="宋体" w:cs="宋体"/>
          <w:sz w:val="24"/>
        </w:rPr>
        <w:t>1、绩效工资即是员工达到公司要求的绩效目标后方予以兑现的浮动工资部分；其发放依据员工综合绩效考核结果来确定，具体考核及核算办法见《公司绩效考核管理办法》。</w:t>
      </w:r>
    </w:p>
    <w:p>
      <w:pPr>
        <w:tabs>
          <w:tab w:val="left" w:pos="1918"/>
        </w:tabs>
        <w:spacing w:line="360" w:lineRule="auto"/>
        <w:ind w:firstLine="480" w:firstLineChars="200"/>
        <w:rPr>
          <w:rFonts w:hint="eastAsia" w:ascii="宋体" w:hAnsi="宋体" w:eastAsia="宋体" w:cs="宋体"/>
          <w:sz w:val="24"/>
        </w:rPr>
      </w:pPr>
      <w:r>
        <w:rPr>
          <w:rFonts w:hint="eastAsia" w:ascii="宋体" w:hAnsi="宋体" w:eastAsia="宋体" w:cs="宋体"/>
          <w:sz w:val="24"/>
        </w:rPr>
        <w:t>2、营销服务类人员绩效工资的核算另见有关规定。</w:t>
      </w:r>
    </w:p>
    <w:p>
      <w:pPr>
        <w:spacing w:line="360" w:lineRule="auto"/>
        <w:ind w:firstLine="480"/>
        <w:rPr>
          <w:rFonts w:hint="eastAsia" w:ascii="宋体" w:hAnsi="宋体" w:eastAsia="宋体" w:cs="宋体"/>
          <w:sz w:val="28"/>
        </w:rPr>
      </w:pPr>
      <w:r>
        <w:rPr>
          <w:rFonts w:hint="eastAsia" w:ascii="宋体" w:hAnsi="宋体" w:eastAsia="宋体" w:cs="宋体"/>
          <w:sz w:val="24"/>
        </w:rPr>
        <w:t>3、试用期内员工当月没有绩效工资。</w:t>
      </w:r>
    </w:p>
    <w:p>
      <w:pPr>
        <w:numPr>
          <w:ilvl w:val="0"/>
          <w:numId w:val="1"/>
        </w:numPr>
        <w:tabs>
          <w:tab w:val="left" w:pos="540"/>
          <w:tab w:val="left" w:pos="1918"/>
        </w:tabs>
        <w:spacing w:line="360" w:lineRule="auto"/>
        <w:rPr>
          <w:rFonts w:hint="eastAsia" w:ascii="宋体" w:hAnsi="宋体" w:eastAsia="宋体" w:cs="宋体"/>
          <w:color w:val="000000"/>
          <w:sz w:val="24"/>
        </w:rPr>
      </w:pPr>
      <w:r>
        <w:rPr>
          <w:rFonts w:hint="eastAsia" w:ascii="宋体" w:hAnsi="宋体" w:eastAsia="宋体" w:cs="宋体"/>
          <w:color w:val="000000"/>
          <w:sz w:val="24"/>
        </w:rPr>
        <w:t>绩效与绩效工资</w:t>
      </w:r>
    </w:p>
    <w:p>
      <w:pPr>
        <w:adjustRightInd w:val="0"/>
        <w:snapToGrid w:val="0"/>
        <w:spacing w:line="360" w:lineRule="auto"/>
        <w:ind w:firstLine="544"/>
        <w:rPr>
          <w:rFonts w:hint="eastAsia" w:ascii="宋体" w:hAnsi="宋体" w:eastAsia="宋体" w:cs="宋体"/>
          <w:color w:val="000000"/>
          <w:sz w:val="24"/>
        </w:rPr>
      </w:pPr>
      <w:r>
        <w:rPr>
          <w:rFonts w:hint="eastAsia" w:ascii="宋体" w:hAnsi="宋体" w:eastAsia="宋体" w:cs="宋体"/>
          <w:color w:val="000000"/>
          <w:sz w:val="24"/>
        </w:rPr>
        <w:t>1、起付点。在绩效目标完成率达到70%及以上时，方可按照绩效目标完成比例及核算方法，发放绩效奖金。绩效完成比例低于70%时，不再发放绩效奖金。</w:t>
      </w:r>
    </w:p>
    <w:p>
      <w:pPr>
        <w:adjustRightInd w:val="0"/>
        <w:snapToGrid w:val="0"/>
        <w:spacing w:line="360" w:lineRule="auto"/>
        <w:ind w:firstLine="544"/>
        <w:rPr>
          <w:rFonts w:hint="eastAsia" w:ascii="宋体" w:hAnsi="宋体" w:eastAsia="宋体" w:cs="宋体"/>
          <w:color w:val="000000"/>
          <w:sz w:val="24"/>
        </w:rPr>
      </w:pPr>
      <w:r>
        <w:rPr>
          <w:rFonts w:hint="eastAsia" w:ascii="宋体" w:hAnsi="宋体" w:eastAsia="宋体" w:cs="宋体"/>
          <w:color w:val="000000"/>
          <w:sz w:val="24"/>
        </w:rPr>
        <w:t>2、绩效分数与绩效工资兑现比例</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绩效工资分为A 、B、C、D、E共五等，A为最高等，B为绩效工资基准，E为最低等。</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2"/>
        <w:gridCol w:w="1499"/>
        <w:gridCol w:w="1524"/>
        <w:gridCol w:w="1512"/>
        <w:gridCol w:w="1512"/>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62"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绩效工资等级</w:t>
            </w:r>
          </w:p>
        </w:tc>
        <w:tc>
          <w:tcPr>
            <w:tcW w:w="1499"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A等</w:t>
            </w:r>
          </w:p>
        </w:tc>
        <w:tc>
          <w:tcPr>
            <w:tcW w:w="1524"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B等</w:t>
            </w:r>
          </w:p>
        </w:tc>
        <w:tc>
          <w:tcPr>
            <w:tcW w:w="1512"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C等</w:t>
            </w:r>
          </w:p>
        </w:tc>
        <w:tc>
          <w:tcPr>
            <w:tcW w:w="1512"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D等</w:t>
            </w:r>
          </w:p>
        </w:tc>
        <w:tc>
          <w:tcPr>
            <w:tcW w:w="1477"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E等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62"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计算比例</w:t>
            </w:r>
          </w:p>
        </w:tc>
        <w:tc>
          <w:tcPr>
            <w:tcW w:w="1499"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120%</w:t>
            </w:r>
          </w:p>
        </w:tc>
        <w:tc>
          <w:tcPr>
            <w:tcW w:w="1524"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100%</w:t>
            </w:r>
          </w:p>
        </w:tc>
        <w:tc>
          <w:tcPr>
            <w:tcW w:w="1512"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90%</w:t>
            </w:r>
          </w:p>
        </w:tc>
        <w:tc>
          <w:tcPr>
            <w:tcW w:w="1512"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80%</w:t>
            </w:r>
          </w:p>
        </w:tc>
        <w:tc>
          <w:tcPr>
            <w:tcW w:w="1477"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62"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绩效分数</w:t>
            </w:r>
          </w:p>
        </w:tc>
        <w:tc>
          <w:tcPr>
            <w:tcW w:w="1499"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100分以上</w:t>
            </w:r>
          </w:p>
        </w:tc>
        <w:tc>
          <w:tcPr>
            <w:tcW w:w="1524"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91-100分</w:t>
            </w:r>
          </w:p>
        </w:tc>
        <w:tc>
          <w:tcPr>
            <w:tcW w:w="1512"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81-90分</w:t>
            </w:r>
          </w:p>
        </w:tc>
        <w:tc>
          <w:tcPr>
            <w:tcW w:w="1512"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71-80分</w:t>
            </w:r>
          </w:p>
        </w:tc>
        <w:tc>
          <w:tcPr>
            <w:tcW w:w="1477"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70分以下</w:t>
            </w:r>
          </w:p>
        </w:tc>
      </w:tr>
    </w:tbl>
    <w:p>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在绩效考核实施前，可统一按B等绩效工资与岗位工资构成的岗位标准工资进行定薪。</w:t>
      </w:r>
    </w:p>
    <w:p>
      <w:pPr>
        <w:adjustRightInd w:val="0"/>
        <w:snapToGrid w:val="0"/>
        <w:spacing w:line="360" w:lineRule="auto"/>
        <w:ind w:firstLine="544"/>
        <w:rPr>
          <w:rFonts w:hint="eastAsia" w:ascii="宋体" w:hAnsi="宋体" w:eastAsia="宋体" w:cs="宋体"/>
          <w:color w:val="000000"/>
          <w:sz w:val="24"/>
        </w:rPr>
      </w:pPr>
      <w:r>
        <w:rPr>
          <w:rFonts w:hint="eastAsia" w:ascii="宋体" w:hAnsi="宋体" w:eastAsia="宋体" w:cs="宋体"/>
          <w:color w:val="000000"/>
          <w:sz w:val="24"/>
        </w:rPr>
        <w:t>3、封顶值。绩效奖金设定封顶值，个人绩效奖金封顶值为120%。为鼓励员工提升绩效，当员工绩效超出绩效奖金封顶值时，根据情况可给予特别奖励。每年终由人力资源部根据公司情况提出特别奖励的办法和方式。</w:t>
      </w:r>
    </w:p>
    <w:p>
      <w:pPr>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4、绩效工资额由员工在考核期内的考核评估结果（分A 、B、C、D、E五等）确定。考核评估结果由考核得分按照规定的等级分布比例强制确定：</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9"/>
        <w:gridCol w:w="1496"/>
        <w:gridCol w:w="1505"/>
        <w:gridCol w:w="1505"/>
        <w:gridCol w:w="1495"/>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9" w:type="dxa"/>
            <w:vAlign w:val="center"/>
          </w:tcPr>
          <w:p>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绩效工资等级</w:t>
            </w:r>
          </w:p>
        </w:tc>
        <w:tc>
          <w:tcPr>
            <w:tcW w:w="1496"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A等</w:t>
            </w:r>
          </w:p>
        </w:tc>
        <w:tc>
          <w:tcPr>
            <w:tcW w:w="1505"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B等</w:t>
            </w:r>
          </w:p>
        </w:tc>
        <w:tc>
          <w:tcPr>
            <w:tcW w:w="1505"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C等</w:t>
            </w:r>
          </w:p>
        </w:tc>
        <w:tc>
          <w:tcPr>
            <w:tcW w:w="1495"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D等</w:t>
            </w:r>
          </w:p>
        </w:tc>
        <w:tc>
          <w:tcPr>
            <w:tcW w:w="1496"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E等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9"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人员分布比例</w:t>
            </w:r>
          </w:p>
        </w:tc>
        <w:tc>
          <w:tcPr>
            <w:tcW w:w="1496"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505"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3000" w:type="dxa"/>
            <w:gridSpan w:val="2"/>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70%</w:t>
            </w:r>
          </w:p>
        </w:tc>
        <w:tc>
          <w:tcPr>
            <w:tcW w:w="1496" w:type="dxa"/>
            <w:vAlign w:val="center"/>
          </w:tcPr>
          <w:p>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5%</w:t>
            </w:r>
          </w:p>
        </w:tc>
      </w:tr>
    </w:tbl>
    <w:p>
      <w:pPr>
        <w:adjustRightInd w:val="0"/>
        <w:snapToGrid w:val="0"/>
        <w:spacing w:line="360" w:lineRule="auto"/>
        <w:ind w:firstLine="544"/>
        <w:rPr>
          <w:rFonts w:hint="eastAsia" w:ascii="宋体" w:hAnsi="宋体" w:eastAsia="宋体" w:cs="宋体"/>
          <w:color w:val="000000"/>
          <w:sz w:val="24"/>
        </w:rPr>
      </w:pPr>
    </w:p>
    <w:p>
      <w:pPr>
        <w:pStyle w:val="2"/>
        <w:jc w:val="center"/>
        <w:rPr>
          <w:rFonts w:hint="eastAsia" w:ascii="宋体" w:hAnsi="宋体" w:eastAsia="宋体" w:cs="宋体"/>
          <w:b w:val="0"/>
          <w:sz w:val="28"/>
        </w:rPr>
      </w:pPr>
      <w:bookmarkStart w:id="12" w:name="_Toc16492365"/>
      <w:bookmarkStart w:id="13" w:name="_Toc28425160"/>
      <w:bookmarkStart w:id="14" w:name="_Toc28425215"/>
      <w:bookmarkStart w:id="15" w:name="_Toc353291118"/>
      <w:r>
        <w:rPr>
          <w:rFonts w:hint="eastAsia" w:ascii="宋体" w:hAnsi="宋体" w:eastAsia="宋体" w:cs="宋体"/>
          <w:sz w:val="28"/>
        </w:rPr>
        <w:t xml:space="preserve">第五章 </w:t>
      </w:r>
      <w:r>
        <w:rPr>
          <w:rFonts w:hint="eastAsia" w:ascii="宋体" w:hAnsi="宋体" w:eastAsia="宋体" w:cs="宋体"/>
          <w:sz w:val="28"/>
        </w:rPr>
        <w:t xml:space="preserve"> </w:t>
      </w:r>
      <w:r>
        <w:rPr>
          <w:rFonts w:hint="eastAsia" w:ascii="宋体" w:hAnsi="宋体" w:eastAsia="宋体" w:cs="宋体"/>
          <w:sz w:val="28"/>
        </w:rPr>
        <w:t>奖金</w:t>
      </w:r>
      <w:bookmarkEnd w:id="12"/>
      <w:bookmarkEnd w:id="13"/>
      <w:bookmarkEnd w:id="14"/>
      <w:bookmarkEnd w:id="15"/>
    </w:p>
    <w:p>
      <w:pPr>
        <w:numPr>
          <w:ilvl w:val="0"/>
          <w:numId w:val="1"/>
        </w:numPr>
        <w:tabs>
          <w:tab w:val="left" w:pos="720"/>
        </w:tabs>
        <w:spacing w:line="360" w:lineRule="auto"/>
        <w:ind w:left="0" w:right="26" w:firstLine="480"/>
        <w:rPr>
          <w:rFonts w:hint="eastAsia" w:ascii="宋体" w:hAnsi="宋体" w:eastAsia="宋体" w:cs="宋体"/>
          <w:sz w:val="24"/>
        </w:rPr>
      </w:pPr>
      <w:r>
        <w:rPr>
          <w:rFonts w:hint="eastAsia" w:ascii="宋体" w:hAnsi="宋体" w:eastAsia="宋体" w:cs="宋体"/>
          <w:sz w:val="24"/>
        </w:rPr>
        <w:t>奖金主要包括特殊贡献奖、创新奖、先进奖和年终超额奖。</w:t>
      </w:r>
    </w:p>
    <w:p>
      <w:pPr>
        <w:numPr>
          <w:ilvl w:val="0"/>
          <w:numId w:val="1"/>
        </w:numPr>
        <w:tabs>
          <w:tab w:val="left" w:pos="720"/>
        </w:tabs>
        <w:spacing w:line="360" w:lineRule="auto"/>
        <w:ind w:right="26"/>
        <w:rPr>
          <w:rFonts w:hint="eastAsia" w:ascii="宋体" w:hAnsi="宋体" w:eastAsia="宋体" w:cs="宋体"/>
          <w:sz w:val="24"/>
        </w:rPr>
      </w:pPr>
      <w:r>
        <w:rPr>
          <w:rFonts w:hint="eastAsia" w:ascii="宋体" w:hAnsi="宋体" w:eastAsia="宋体" w:cs="宋体"/>
          <w:sz w:val="24"/>
        </w:rPr>
        <w:t xml:space="preserve">  特殊贡献奖和创新奖</w:t>
      </w:r>
    </w:p>
    <w:p>
      <w:pPr>
        <w:tabs>
          <w:tab w:val="left" w:pos="90"/>
          <w:tab w:val="left" w:pos="690"/>
        </w:tabs>
        <w:spacing w:line="360" w:lineRule="auto"/>
        <w:ind w:right="26"/>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1、特殊贡献奖是指由于员工个人的努力给公司带来较大贡献的一种特别嘉奖。例如员工通过个人关系给公司带来了大客户，或通过与政府的特殊关系给公司解决了一些实际困难，或合理化建议被采纳经验证为公司减少了较大损失或带来较大经济效益等。</w:t>
      </w:r>
    </w:p>
    <w:p>
      <w:pPr>
        <w:tabs>
          <w:tab w:val="left" w:pos="720"/>
          <w:tab w:val="left" w:pos="900"/>
        </w:tabs>
        <w:spacing w:line="360" w:lineRule="auto"/>
        <w:ind w:right="26"/>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2、创新奖是指员工在工作中工作方式或方法的改进、产品创意等给公司带来一定现实的或潜在的效益，公司给予的奖励。</w:t>
      </w:r>
    </w:p>
    <w:p>
      <w:pPr>
        <w:numPr>
          <w:ilvl w:val="0"/>
          <w:numId w:val="1"/>
        </w:numPr>
        <w:tabs>
          <w:tab w:val="left" w:pos="720"/>
          <w:tab w:val="clear" w:pos="1320"/>
        </w:tabs>
        <w:spacing w:line="360" w:lineRule="auto"/>
        <w:ind w:left="0" w:right="26" w:firstLine="480"/>
        <w:rPr>
          <w:rFonts w:hint="eastAsia" w:ascii="宋体" w:hAnsi="宋体" w:eastAsia="宋体" w:cs="宋体"/>
          <w:sz w:val="24"/>
        </w:rPr>
      </w:pPr>
      <w:r>
        <w:rPr>
          <w:rFonts w:hint="eastAsia" w:ascii="宋体" w:hAnsi="宋体" w:eastAsia="宋体" w:cs="宋体"/>
          <w:sz w:val="24"/>
        </w:rPr>
        <w:t xml:space="preserve">   先进奖</w:t>
      </w:r>
    </w:p>
    <w:p>
      <w:pPr>
        <w:tabs>
          <w:tab w:val="left" w:pos="720"/>
        </w:tabs>
        <w:spacing w:line="360" w:lineRule="auto"/>
        <w:ind w:right="26" w:firstLine="480"/>
        <w:rPr>
          <w:rFonts w:hint="eastAsia" w:ascii="宋体" w:hAnsi="宋体" w:eastAsia="宋体" w:cs="宋体"/>
          <w:sz w:val="24"/>
        </w:rPr>
      </w:pPr>
      <w:r>
        <w:rPr>
          <w:rFonts w:hint="eastAsia" w:ascii="宋体" w:hAnsi="宋体" w:eastAsia="宋体" w:cs="宋体"/>
          <w:sz w:val="24"/>
        </w:rPr>
        <w:t>每年公司统一评出先进集体和个人，并按规定予以相应的奖励：</w:t>
      </w:r>
    </w:p>
    <w:p>
      <w:pPr>
        <w:tabs>
          <w:tab w:val="left" w:pos="720"/>
        </w:tabs>
        <w:spacing w:line="360" w:lineRule="auto"/>
        <w:ind w:right="26" w:firstLine="480"/>
        <w:rPr>
          <w:rFonts w:hint="eastAsia" w:ascii="宋体" w:hAnsi="宋体" w:eastAsia="宋体" w:cs="宋体"/>
          <w:sz w:val="24"/>
        </w:rPr>
      </w:pPr>
      <w:r>
        <w:rPr>
          <w:rFonts w:hint="eastAsia" w:ascii="宋体" w:hAnsi="宋体" w:eastAsia="宋体" w:cs="宋体"/>
          <w:sz w:val="24"/>
        </w:rPr>
        <w:t>先进部门：奖金3000元；先进个人每人1000元</w:t>
      </w:r>
    </w:p>
    <w:p>
      <w:pPr>
        <w:numPr>
          <w:ilvl w:val="0"/>
          <w:numId w:val="1"/>
        </w:numPr>
        <w:tabs>
          <w:tab w:val="left" w:pos="720"/>
          <w:tab w:val="clear" w:pos="1320"/>
        </w:tabs>
        <w:spacing w:line="360" w:lineRule="auto"/>
        <w:ind w:left="0" w:right="26" w:firstLine="480"/>
        <w:rPr>
          <w:rFonts w:hint="eastAsia" w:ascii="宋体" w:hAnsi="宋体" w:eastAsia="宋体" w:cs="宋体"/>
          <w:sz w:val="24"/>
        </w:rPr>
      </w:pPr>
      <w:r>
        <w:rPr>
          <w:rFonts w:hint="eastAsia" w:ascii="宋体" w:hAnsi="宋体" w:eastAsia="宋体" w:cs="宋体"/>
          <w:sz w:val="24"/>
        </w:rPr>
        <w:t>年终超额奖</w:t>
      </w:r>
    </w:p>
    <w:p>
      <w:pPr>
        <w:tabs>
          <w:tab w:val="left" w:pos="720"/>
        </w:tabs>
        <w:spacing w:line="360" w:lineRule="auto"/>
        <w:ind w:left="541" w:leftChars="229" w:right="25" w:rightChars="12" w:hanging="60"/>
        <w:rPr>
          <w:rFonts w:hint="eastAsia" w:ascii="宋体" w:hAnsi="宋体" w:eastAsia="宋体" w:cs="宋体"/>
          <w:sz w:val="24"/>
        </w:rPr>
      </w:pPr>
      <w:r>
        <w:rPr>
          <w:rFonts w:hint="eastAsia" w:ascii="宋体" w:hAnsi="宋体" w:eastAsia="宋体" w:cs="宋体"/>
          <w:sz w:val="24"/>
        </w:rPr>
        <w:t>1、是根据公司的年度目标完成情况设置的奖励，是超出公司完成目标部分的奖励，是针对全体员工额外贡献的奖励和回报；</w:t>
      </w:r>
    </w:p>
    <w:p>
      <w:pPr>
        <w:spacing w:line="500" w:lineRule="exact"/>
        <w:ind w:left="479" w:leftChars="228"/>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bCs/>
          <w:color w:val="000000"/>
          <w:sz w:val="24"/>
        </w:rPr>
        <w:t>年终</w:t>
      </w:r>
      <w:r>
        <w:rPr>
          <w:rFonts w:hint="eastAsia" w:ascii="宋体" w:hAnsi="宋体" w:eastAsia="宋体" w:cs="宋体"/>
          <w:sz w:val="24"/>
        </w:rPr>
        <w:t>超额</w:t>
      </w:r>
      <w:r>
        <w:rPr>
          <w:rFonts w:hint="eastAsia" w:ascii="宋体" w:hAnsi="宋体" w:eastAsia="宋体" w:cs="宋体"/>
          <w:bCs/>
          <w:color w:val="000000"/>
          <w:sz w:val="24"/>
        </w:rPr>
        <w:t>奖总额</w:t>
      </w:r>
      <w:r>
        <w:rPr>
          <w:rFonts w:hint="eastAsia" w:ascii="宋体" w:hAnsi="宋体" w:eastAsia="宋体" w:cs="宋体"/>
          <w:bCs/>
          <w:color w:val="000000"/>
          <w:sz w:val="24"/>
        </w:rPr>
        <w:br w:type="textWrapping"/>
      </w:r>
      <w:r>
        <w:rPr>
          <w:rFonts w:hint="eastAsia" w:ascii="宋体" w:hAnsi="宋体" w:eastAsia="宋体" w:cs="宋体"/>
          <w:bCs/>
          <w:color w:val="000000"/>
          <w:sz w:val="24"/>
        </w:rPr>
        <w:t>年终奖总额</w:t>
      </w:r>
      <w:r>
        <w:rPr>
          <w:rFonts w:hint="eastAsia" w:ascii="宋体" w:hAnsi="宋体" w:eastAsia="宋体" w:cs="宋体"/>
          <w:bCs/>
          <w:color w:val="000000"/>
          <w:sz w:val="24"/>
        </w:rPr>
        <w:t>=</w:t>
      </w:r>
      <w:r>
        <w:rPr>
          <w:rFonts w:hint="eastAsia" w:ascii="宋体" w:hAnsi="宋体" w:eastAsia="宋体" w:cs="宋体"/>
          <w:bCs/>
          <w:color w:val="000000"/>
          <w:sz w:val="24"/>
        </w:rPr>
        <w:t>超额利润</w:t>
      </w:r>
      <w:r>
        <w:rPr>
          <w:rFonts w:hint="eastAsia" w:ascii="宋体" w:hAnsi="宋体" w:eastAsia="宋体" w:cs="宋体"/>
          <w:bCs/>
          <w:color w:val="000000"/>
          <w:sz w:val="24"/>
        </w:rPr>
        <w:t>*</w:t>
      </w:r>
      <w:r>
        <w:rPr>
          <w:rFonts w:hint="eastAsia" w:ascii="宋体" w:hAnsi="宋体" w:eastAsia="宋体" w:cs="宋体"/>
          <w:bCs/>
          <w:color w:val="000000"/>
          <w:sz w:val="24"/>
        </w:rPr>
        <w:t>年终奖计提比例</w:t>
      </w:r>
      <w:r>
        <w:rPr>
          <w:rFonts w:hint="eastAsia" w:ascii="宋体" w:hAnsi="宋体" w:eastAsia="宋体" w:cs="宋体"/>
          <w:bCs/>
          <w:color w:val="000000"/>
          <w:sz w:val="24"/>
        </w:rPr>
        <w:br w:type="textWrapping"/>
      </w:r>
      <w:r>
        <w:rPr>
          <w:rFonts w:hint="eastAsia" w:ascii="宋体" w:hAnsi="宋体" w:eastAsia="宋体" w:cs="宋体"/>
          <w:sz w:val="24"/>
        </w:rPr>
        <w:t>每年由董事会和总经理具体约定年终超额奖提取办法和比例；</w:t>
      </w:r>
    </w:p>
    <w:p>
      <w:pPr>
        <w:pStyle w:val="2"/>
        <w:jc w:val="center"/>
        <w:rPr>
          <w:rFonts w:hint="eastAsia" w:ascii="宋体" w:hAnsi="宋体" w:eastAsia="宋体" w:cs="宋体"/>
          <w:sz w:val="28"/>
        </w:rPr>
      </w:pPr>
      <w:bookmarkStart w:id="16" w:name="_Toc353291119"/>
      <w:r>
        <w:rPr>
          <w:rFonts w:hint="eastAsia" w:ascii="宋体" w:hAnsi="宋体" w:eastAsia="宋体" w:cs="宋体"/>
          <w:sz w:val="28"/>
        </w:rPr>
        <w:t>第</w:t>
      </w:r>
      <w:r>
        <w:rPr>
          <w:rFonts w:hint="eastAsia" w:ascii="宋体" w:hAnsi="宋体" w:eastAsia="宋体" w:cs="宋体"/>
          <w:sz w:val="28"/>
        </w:rPr>
        <w:t>六</w:t>
      </w:r>
      <w:r>
        <w:rPr>
          <w:rFonts w:hint="eastAsia" w:ascii="宋体" w:hAnsi="宋体" w:eastAsia="宋体" w:cs="宋体"/>
          <w:sz w:val="28"/>
        </w:rPr>
        <w:t xml:space="preserve">章  </w:t>
      </w:r>
      <w:r>
        <w:rPr>
          <w:rFonts w:hint="eastAsia" w:ascii="宋体" w:hAnsi="宋体" w:eastAsia="宋体" w:cs="宋体"/>
          <w:sz w:val="28"/>
        </w:rPr>
        <w:t>晋升规定</w:t>
      </w:r>
      <w:bookmarkEnd w:id="16"/>
    </w:p>
    <w:p>
      <w:pPr>
        <w:numPr>
          <w:ilvl w:val="0"/>
          <w:numId w:val="1"/>
        </w:numPr>
        <w:tabs>
          <w:tab w:val="left" w:pos="720"/>
          <w:tab w:val="clear" w:pos="1320"/>
        </w:tabs>
        <w:spacing w:line="360" w:lineRule="auto"/>
        <w:ind w:left="0" w:right="26" w:firstLine="480"/>
        <w:rPr>
          <w:rFonts w:hint="eastAsia" w:ascii="宋体" w:hAnsi="宋体" w:eastAsia="宋体" w:cs="宋体"/>
          <w:sz w:val="24"/>
        </w:rPr>
      </w:pPr>
      <w:r>
        <w:rPr>
          <w:rFonts w:hint="eastAsia" w:ascii="宋体" w:hAnsi="宋体" w:eastAsia="宋体" w:cs="宋体"/>
          <w:sz w:val="24"/>
        </w:rPr>
        <w:t>晋升机制是为了充分调动公司员工的主动性和积极性，有效激发员工潜能，规范公司员工岗位晋升、晋级程序，指导员工个人职业规划，促进公司发展与个人职业目标的统一。</w:t>
      </w:r>
    </w:p>
    <w:p>
      <w:pPr>
        <w:numPr>
          <w:ilvl w:val="0"/>
          <w:numId w:val="1"/>
        </w:numPr>
        <w:tabs>
          <w:tab w:val="left" w:pos="720"/>
          <w:tab w:val="clear" w:pos="1320"/>
        </w:tabs>
        <w:spacing w:line="360" w:lineRule="auto"/>
        <w:ind w:left="0" w:right="26" w:firstLine="480"/>
        <w:rPr>
          <w:rFonts w:hint="eastAsia" w:ascii="宋体" w:hAnsi="宋体" w:eastAsia="宋体" w:cs="宋体"/>
          <w:sz w:val="24"/>
        </w:rPr>
      </w:pPr>
      <w:r>
        <w:rPr>
          <w:rFonts w:hint="eastAsia" w:ascii="宋体" w:hAnsi="宋体" w:eastAsia="宋体" w:cs="宋体"/>
          <w:sz w:val="24"/>
        </w:rPr>
        <w:t>晋升类型</w:t>
      </w:r>
    </w:p>
    <w:p>
      <w:pPr>
        <w:spacing w:line="500" w:lineRule="exact"/>
        <w:ind w:left="479" w:leftChars="228"/>
        <w:rPr>
          <w:rFonts w:hint="eastAsia" w:ascii="宋体" w:hAnsi="宋体" w:eastAsia="宋体" w:cs="宋体"/>
          <w:sz w:val="24"/>
        </w:rPr>
      </w:pPr>
      <w:r>
        <w:rPr>
          <w:rFonts w:hint="eastAsia" w:ascii="宋体" w:hAnsi="宋体" w:eastAsia="宋体" w:cs="宋体"/>
          <w:sz w:val="24"/>
        </w:rPr>
        <w:t>岗位级别不变，薪资档次晋升</w:t>
      </w:r>
    </w:p>
    <w:p>
      <w:pPr>
        <w:spacing w:line="500" w:lineRule="exact"/>
        <w:ind w:left="479" w:leftChars="228"/>
        <w:rPr>
          <w:rFonts w:hint="eastAsia" w:ascii="宋体" w:hAnsi="宋体" w:eastAsia="宋体" w:cs="宋体"/>
          <w:sz w:val="24"/>
        </w:rPr>
      </w:pPr>
      <w:r>
        <w:rPr>
          <w:rFonts w:hint="eastAsia" w:ascii="宋体" w:hAnsi="宋体" w:eastAsia="宋体" w:cs="宋体"/>
          <w:sz w:val="24"/>
        </w:rPr>
        <w:t>岗位级别晋升，薪资晋升</w:t>
      </w:r>
    </w:p>
    <w:p>
      <w:pPr>
        <w:numPr>
          <w:ilvl w:val="0"/>
          <w:numId w:val="1"/>
        </w:numPr>
        <w:tabs>
          <w:tab w:val="left" w:pos="720"/>
          <w:tab w:val="clear" w:pos="1320"/>
        </w:tabs>
        <w:spacing w:line="360" w:lineRule="auto"/>
        <w:ind w:left="0" w:right="26" w:firstLine="480"/>
        <w:rPr>
          <w:rFonts w:hint="eastAsia" w:ascii="宋体" w:hAnsi="宋体" w:eastAsia="宋体" w:cs="宋体"/>
          <w:sz w:val="24"/>
        </w:rPr>
      </w:pPr>
      <w:r>
        <w:rPr>
          <w:rFonts w:hint="eastAsia" w:ascii="宋体" w:hAnsi="宋体" w:eastAsia="宋体" w:cs="宋体"/>
          <w:sz w:val="24"/>
        </w:rPr>
        <w:t>职责划分与权限界定</w:t>
      </w:r>
    </w:p>
    <w:p>
      <w:pPr>
        <w:spacing w:after="156" w:afterLines="50" w:line="440" w:lineRule="exact"/>
        <w:ind w:firstLine="480" w:firstLineChars="200"/>
        <w:rPr>
          <w:rFonts w:hint="eastAsia" w:ascii="宋体" w:hAnsi="宋体" w:eastAsia="宋体" w:cs="宋体"/>
          <w:sz w:val="24"/>
        </w:rPr>
      </w:pPr>
      <w:r>
        <w:rPr>
          <w:rFonts w:hint="eastAsia" w:ascii="宋体" w:hAnsi="宋体" w:eastAsia="宋体" w:cs="宋体"/>
          <w:sz w:val="24"/>
        </w:rPr>
        <w:t>人力资源部负责员工晋升工作的组织、任职资格条件的审查、评审结果的汇总，将评审合格的人员名单报公司审批后于次月执行。</w:t>
      </w:r>
    </w:p>
    <w:p>
      <w:pPr>
        <w:spacing w:after="156" w:afterLines="50" w:line="440" w:lineRule="exact"/>
        <w:ind w:firstLine="480" w:firstLineChars="200"/>
        <w:rPr>
          <w:rFonts w:hint="eastAsia" w:ascii="宋体" w:hAnsi="宋体" w:eastAsia="宋体" w:cs="宋体"/>
          <w:sz w:val="24"/>
        </w:rPr>
      </w:pPr>
      <w:r>
        <w:rPr>
          <w:rFonts w:hint="eastAsia" w:ascii="宋体" w:hAnsi="宋体" w:eastAsia="宋体" w:cs="宋体"/>
          <w:sz w:val="24"/>
        </w:rPr>
        <w:t>是员工晋升的具体执行部门。</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33"/>
        <w:gridCol w:w="2317"/>
        <w:gridCol w:w="231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33"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晋升类型</w:t>
            </w:r>
          </w:p>
        </w:tc>
        <w:tc>
          <w:tcPr>
            <w:tcW w:w="2317"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申请</w:t>
            </w:r>
          </w:p>
        </w:tc>
        <w:tc>
          <w:tcPr>
            <w:tcW w:w="2318"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审核</w:t>
            </w:r>
          </w:p>
        </w:tc>
        <w:tc>
          <w:tcPr>
            <w:tcW w:w="2318"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签批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33"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岗位级别不变，薪资档次晋升</w:t>
            </w:r>
          </w:p>
        </w:tc>
        <w:tc>
          <w:tcPr>
            <w:tcW w:w="2317"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个人提出申请或部门推荐人员</w:t>
            </w:r>
          </w:p>
        </w:tc>
        <w:tc>
          <w:tcPr>
            <w:tcW w:w="2318" w:type="dxa"/>
            <w:vAlign w:val="center"/>
          </w:tcPr>
          <w:p>
            <w:pPr>
              <w:ind w:firstLine="480" w:firstLineChars="200"/>
              <w:rPr>
                <w:rFonts w:hint="eastAsia" w:ascii="宋体" w:hAnsi="宋体" w:eastAsia="宋体" w:cs="宋体"/>
                <w:sz w:val="24"/>
              </w:rPr>
            </w:pPr>
            <w:r>
              <w:rPr>
                <w:rFonts w:hint="eastAsia" w:ascii="宋体" w:hAnsi="宋体" w:eastAsia="宋体" w:cs="宋体"/>
                <w:sz w:val="24"/>
              </w:rPr>
              <w:t>部门/主管领导</w:t>
            </w:r>
          </w:p>
        </w:tc>
        <w:tc>
          <w:tcPr>
            <w:tcW w:w="2318" w:type="dxa"/>
            <w:vAlign w:val="center"/>
          </w:tcPr>
          <w:p>
            <w:pPr>
              <w:ind w:firstLine="480" w:firstLineChars="200"/>
              <w:rPr>
                <w:rFonts w:hint="eastAsia" w:ascii="宋体" w:hAnsi="宋体" w:eastAsia="宋体" w:cs="宋体"/>
                <w:sz w:val="24"/>
              </w:rPr>
            </w:pPr>
            <w:r>
              <w:rPr>
                <w:rFonts w:hint="eastAsia" w:ascii="宋体" w:hAnsi="宋体" w:eastAsia="宋体" w:cs="宋体"/>
                <w:sz w:val="24"/>
              </w:rPr>
              <w:t>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33"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岗位级别晋升，薪资档次晋升</w:t>
            </w:r>
          </w:p>
        </w:tc>
        <w:tc>
          <w:tcPr>
            <w:tcW w:w="2317"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个人提出申请或部门推荐人员</w:t>
            </w:r>
          </w:p>
        </w:tc>
        <w:tc>
          <w:tcPr>
            <w:tcW w:w="2318" w:type="dxa"/>
            <w:vAlign w:val="center"/>
          </w:tcPr>
          <w:p>
            <w:pPr>
              <w:ind w:firstLine="480" w:firstLineChars="200"/>
              <w:rPr>
                <w:rFonts w:hint="eastAsia" w:ascii="宋体" w:hAnsi="宋体" w:eastAsia="宋体" w:cs="宋体"/>
                <w:sz w:val="24"/>
              </w:rPr>
            </w:pPr>
            <w:r>
              <w:rPr>
                <w:rFonts w:hint="eastAsia" w:ascii="宋体" w:hAnsi="宋体" w:eastAsia="宋体" w:cs="宋体"/>
                <w:sz w:val="24"/>
              </w:rPr>
              <w:t>部门/主管领导</w:t>
            </w:r>
          </w:p>
        </w:tc>
        <w:tc>
          <w:tcPr>
            <w:tcW w:w="2318" w:type="dxa"/>
            <w:vAlign w:val="center"/>
          </w:tcPr>
          <w:p>
            <w:pPr>
              <w:ind w:firstLine="480" w:firstLineChars="200"/>
              <w:rPr>
                <w:rFonts w:hint="eastAsia" w:ascii="宋体" w:hAnsi="宋体" w:eastAsia="宋体" w:cs="宋体"/>
                <w:sz w:val="24"/>
              </w:rPr>
            </w:pPr>
            <w:r>
              <w:rPr>
                <w:rFonts w:hint="eastAsia" w:ascii="宋体" w:hAnsi="宋体" w:eastAsia="宋体" w:cs="宋体"/>
                <w:sz w:val="24"/>
              </w:rPr>
              <w:t>薪资考评小组</w:t>
            </w:r>
          </w:p>
        </w:tc>
      </w:tr>
    </w:tbl>
    <w:p>
      <w:pPr>
        <w:tabs>
          <w:tab w:val="left" w:pos="1918"/>
        </w:tabs>
        <w:spacing w:line="360" w:lineRule="auto"/>
        <w:ind w:firstLine="480" w:firstLineChars="200"/>
        <w:rPr>
          <w:rFonts w:hint="eastAsia" w:ascii="宋体" w:hAnsi="宋体" w:eastAsia="宋体" w:cs="宋体"/>
          <w:sz w:val="24"/>
        </w:rPr>
      </w:pPr>
      <w:r>
        <w:rPr>
          <w:rFonts w:hint="eastAsia" w:ascii="宋体" w:hAnsi="宋体" w:eastAsia="宋体" w:cs="宋体"/>
          <w:sz w:val="24"/>
        </w:rPr>
        <w:t>具体办法详见《晋升管理机制》。</w:t>
      </w:r>
    </w:p>
    <w:p>
      <w:pPr>
        <w:pStyle w:val="2"/>
        <w:jc w:val="center"/>
        <w:rPr>
          <w:rFonts w:hint="eastAsia" w:ascii="宋体" w:hAnsi="宋体" w:eastAsia="宋体" w:cs="宋体"/>
          <w:sz w:val="28"/>
        </w:rPr>
      </w:pPr>
      <w:bookmarkStart w:id="17" w:name="_Toc28425221"/>
      <w:bookmarkStart w:id="18" w:name="_Toc16492371"/>
      <w:bookmarkStart w:id="19" w:name="_Toc28425166"/>
      <w:bookmarkStart w:id="20" w:name="_Toc3628240"/>
      <w:bookmarkStart w:id="21" w:name="_Toc353291120"/>
      <w:r>
        <w:rPr>
          <w:rFonts w:hint="eastAsia" w:ascii="宋体" w:hAnsi="宋体" w:eastAsia="宋体" w:cs="宋体"/>
          <w:sz w:val="28"/>
        </w:rPr>
        <w:t>第</w:t>
      </w:r>
      <w:r>
        <w:rPr>
          <w:rFonts w:hint="eastAsia" w:ascii="宋体" w:hAnsi="宋体" w:eastAsia="宋体" w:cs="宋体"/>
          <w:sz w:val="28"/>
        </w:rPr>
        <w:t>七</w:t>
      </w:r>
      <w:r>
        <w:rPr>
          <w:rFonts w:hint="eastAsia" w:ascii="宋体" w:hAnsi="宋体" w:eastAsia="宋体" w:cs="宋体"/>
          <w:sz w:val="28"/>
        </w:rPr>
        <w:t xml:space="preserve">章  </w:t>
      </w:r>
      <w:bookmarkEnd w:id="17"/>
      <w:bookmarkEnd w:id="18"/>
      <w:bookmarkEnd w:id="19"/>
      <w:bookmarkEnd w:id="20"/>
      <w:r>
        <w:rPr>
          <w:rFonts w:hint="eastAsia" w:ascii="宋体" w:hAnsi="宋体" w:eastAsia="宋体" w:cs="宋体"/>
          <w:sz w:val="28"/>
        </w:rPr>
        <w:t>其他规定</w:t>
      </w:r>
      <w:bookmarkEnd w:id="21"/>
    </w:p>
    <w:p>
      <w:pPr>
        <w:numPr>
          <w:ilvl w:val="0"/>
          <w:numId w:val="1"/>
        </w:numPr>
        <w:tabs>
          <w:tab w:val="left" w:pos="540"/>
          <w:tab w:val="left" w:pos="1918"/>
        </w:tabs>
        <w:spacing w:line="360" w:lineRule="auto"/>
        <w:ind w:left="0" w:firstLine="480"/>
        <w:rPr>
          <w:rFonts w:hint="eastAsia" w:ascii="宋体" w:hAnsi="宋体" w:eastAsia="宋体" w:cs="宋体"/>
          <w:sz w:val="24"/>
        </w:rPr>
      </w:pPr>
      <w:r>
        <w:rPr>
          <w:rFonts w:hint="eastAsia" w:ascii="宋体" w:hAnsi="宋体" w:eastAsia="宋体" w:cs="宋体"/>
          <w:color w:val="000000"/>
          <w:spacing w:val="4"/>
          <w:sz w:val="24"/>
        </w:rPr>
        <w:t>员工请事</w:t>
      </w:r>
      <w:r>
        <w:rPr>
          <w:rFonts w:hint="eastAsia" w:ascii="宋体" w:hAnsi="宋体" w:eastAsia="宋体" w:cs="宋体"/>
          <w:spacing w:val="4"/>
          <w:sz w:val="24"/>
        </w:rPr>
        <w:t>假、病假期间，基</w:t>
      </w:r>
      <w:r>
        <w:rPr>
          <w:rFonts w:hint="eastAsia" w:ascii="宋体" w:hAnsi="宋体" w:eastAsia="宋体" w:cs="宋体"/>
          <w:color w:val="000000"/>
          <w:spacing w:val="4"/>
          <w:sz w:val="24"/>
        </w:rPr>
        <w:t>础工资按请假天数扣除。</w:t>
      </w:r>
      <w:r>
        <w:rPr>
          <w:rFonts w:hint="eastAsia" w:ascii="宋体" w:hAnsi="宋体" w:eastAsia="宋体" w:cs="宋体"/>
          <w:sz w:val="24"/>
        </w:rPr>
        <w:t>员工迟到（早退）</w:t>
      </w:r>
      <w:r>
        <w:rPr>
          <w:rFonts w:hint="eastAsia" w:ascii="宋体" w:hAnsi="宋体" w:eastAsia="宋体" w:cs="宋体"/>
          <w:sz w:val="24"/>
        </w:rPr>
        <w:t>在半小时以内的（8：40-9：10）扣除当日工资</w:t>
      </w:r>
      <w:r>
        <w:rPr>
          <w:rFonts w:hint="eastAsia" w:ascii="宋体" w:hAnsi="宋体" w:eastAsia="宋体" w:cs="宋体"/>
          <w:sz w:val="24"/>
        </w:rPr>
        <w:t>10%</w:t>
      </w:r>
      <w:r>
        <w:rPr>
          <w:rFonts w:hint="eastAsia" w:ascii="宋体" w:hAnsi="宋体" w:eastAsia="宋体" w:cs="宋体"/>
          <w:sz w:val="24"/>
        </w:rPr>
        <w:t>；超过9：10分不超过9：40的扣除当日工资</w:t>
      </w:r>
      <w:r>
        <w:rPr>
          <w:rFonts w:hint="eastAsia" w:ascii="宋体" w:hAnsi="宋体" w:eastAsia="宋体" w:cs="宋体"/>
          <w:sz w:val="24"/>
        </w:rPr>
        <w:t>15%</w:t>
      </w:r>
      <w:r>
        <w:rPr>
          <w:rFonts w:hint="eastAsia" w:ascii="宋体" w:hAnsi="宋体" w:eastAsia="宋体" w:cs="宋体"/>
          <w:sz w:val="24"/>
        </w:rPr>
        <w:t>；超过9：40不超过10：40的除当日工资</w:t>
      </w:r>
      <w:r>
        <w:rPr>
          <w:rFonts w:hint="eastAsia" w:ascii="宋体" w:hAnsi="宋体" w:eastAsia="宋体" w:cs="宋体"/>
          <w:sz w:val="24"/>
        </w:rPr>
        <w:t>20%</w:t>
      </w:r>
      <w:r>
        <w:rPr>
          <w:rFonts w:hint="eastAsia" w:ascii="宋体" w:hAnsi="宋体" w:eastAsia="宋体" w:cs="宋体"/>
          <w:sz w:val="24"/>
        </w:rPr>
        <w:t>；超过10：40不超过12：00的扣除当日工资50</w:t>
      </w:r>
      <w:r>
        <w:rPr>
          <w:rFonts w:hint="eastAsia" w:ascii="宋体" w:hAnsi="宋体" w:eastAsia="宋体" w:cs="宋体"/>
          <w:sz w:val="24"/>
        </w:rPr>
        <w:t>%</w:t>
      </w:r>
      <w:r>
        <w:rPr>
          <w:rFonts w:hint="eastAsia" w:ascii="宋体" w:hAnsi="宋体" w:eastAsia="宋体" w:cs="宋体"/>
          <w:sz w:val="24"/>
        </w:rPr>
        <w:t>，</w:t>
      </w:r>
      <w:r>
        <w:rPr>
          <w:rFonts w:hint="eastAsia" w:ascii="宋体" w:hAnsi="宋体" w:eastAsia="宋体" w:cs="宋体"/>
          <w:sz w:val="24"/>
        </w:rPr>
        <w:t>迟到累计</w:t>
      </w:r>
      <w:r>
        <w:rPr>
          <w:rFonts w:hint="eastAsia" w:ascii="宋体" w:hAnsi="宋体" w:eastAsia="宋体" w:cs="宋体"/>
          <w:sz w:val="24"/>
        </w:rPr>
        <w:t>3</w:t>
      </w:r>
      <w:r>
        <w:rPr>
          <w:rFonts w:hint="eastAsia" w:ascii="宋体" w:hAnsi="宋体" w:eastAsia="宋体" w:cs="宋体"/>
          <w:sz w:val="24"/>
        </w:rPr>
        <w:t>次以上，自第4次起，不能享受当月的全勤奖。</w:t>
      </w:r>
      <w:r>
        <w:rPr>
          <w:rFonts w:hint="eastAsia" w:ascii="宋体" w:hAnsi="宋体" w:eastAsia="宋体" w:cs="宋体"/>
          <w:sz w:val="24"/>
        </w:rPr>
        <w:t>员工</w:t>
      </w:r>
      <w:r>
        <w:rPr>
          <w:rFonts w:hint="eastAsia" w:ascii="宋体" w:hAnsi="宋体" w:eastAsia="宋体" w:cs="宋体"/>
          <w:sz w:val="24"/>
        </w:rPr>
        <w:t>旷工将按日工资的</w:t>
      </w:r>
      <w:r>
        <w:rPr>
          <w:rFonts w:hint="eastAsia" w:ascii="宋体" w:hAnsi="宋体" w:eastAsia="宋体" w:cs="宋体"/>
          <w:sz w:val="24"/>
        </w:rPr>
        <w:t>1.5</w:t>
      </w:r>
      <w:r>
        <w:rPr>
          <w:rFonts w:hint="eastAsia" w:ascii="宋体" w:hAnsi="宋体" w:eastAsia="宋体" w:cs="宋体"/>
          <w:sz w:val="24"/>
        </w:rPr>
        <w:t>倍扣罚，旷工超过</w:t>
      </w:r>
      <w:r>
        <w:rPr>
          <w:rFonts w:hint="eastAsia" w:ascii="宋体" w:hAnsi="宋体" w:eastAsia="宋体" w:cs="宋体"/>
          <w:sz w:val="24"/>
        </w:rPr>
        <w:t>3天将被解除劳动合同，对公司正常工作造成损失的，赔偿费用将从工资中扣除</w:t>
      </w:r>
      <w:r>
        <w:rPr>
          <w:rFonts w:hint="eastAsia" w:ascii="宋体" w:hAnsi="宋体" w:eastAsia="宋体" w:cs="宋体"/>
          <w:sz w:val="24"/>
        </w:rPr>
        <w:t>。</w:t>
      </w:r>
    </w:p>
    <w:p>
      <w:pPr>
        <w:numPr>
          <w:ilvl w:val="0"/>
          <w:numId w:val="1"/>
        </w:numPr>
        <w:tabs>
          <w:tab w:val="left" w:pos="540"/>
          <w:tab w:val="left" w:pos="1918"/>
        </w:tabs>
        <w:spacing w:line="360" w:lineRule="auto"/>
        <w:ind w:left="0" w:firstLine="480"/>
        <w:rPr>
          <w:rFonts w:hint="eastAsia" w:ascii="宋体" w:hAnsi="宋体" w:eastAsia="宋体" w:cs="宋体"/>
          <w:sz w:val="24"/>
        </w:rPr>
      </w:pPr>
      <w:r>
        <w:rPr>
          <w:rFonts w:hint="eastAsia" w:ascii="宋体" w:hAnsi="宋体" w:eastAsia="宋体" w:cs="宋体"/>
          <w:color w:val="000000"/>
          <w:spacing w:val="4"/>
          <w:sz w:val="24"/>
        </w:rPr>
        <w:t>员工工伤期间的待遇参照国家有关规定执行。</w:t>
      </w:r>
    </w:p>
    <w:p>
      <w:pPr>
        <w:numPr>
          <w:ilvl w:val="0"/>
          <w:numId w:val="1"/>
        </w:numPr>
        <w:tabs>
          <w:tab w:val="left" w:pos="1918"/>
        </w:tabs>
        <w:spacing w:line="360" w:lineRule="auto"/>
        <w:rPr>
          <w:rFonts w:hint="eastAsia" w:ascii="宋体" w:hAnsi="宋体" w:eastAsia="宋体" w:cs="宋体"/>
          <w:sz w:val="24"/>
        </w:rPr>
      </w:pPr>
      <w:r>
        <w:rPr>
          <w:rFonts w:hint="eastAsia" w:ascii="宋体" w:hAnsi="宋体" w:eastAsia="宋体" w:cs="宋体"/>
          <w:sz w:val="24"/>
        </w:rPr>
        <w:t>员工的月计薪天数</w:t>
      </w:r>
    </w:p>
    <w:p>
      <w:pPr>
        <w:tabs>
          <w:tab w:val="left" w:pos="1320"/>
          <w:tab w:val="left" w:pos="1918"/>
        </w:tabs>
        <w:spacing w:line="360" w:lineRule="auto"/>
        <w:ind w:firstLine="480" w:firstLineChars="200"/>
        <w:rPr>
          <w:rFonts w:hint="eastAsia" w:ascii="宋体" w:hAnsi="宋体" w:eastAsia="宋体" w:cs="宋体"/>
          <w:sz w:val="24"/>
        </w:rPr>
      </w:pPr>
      <w:r>
        <w:rPr>
          <w:rFonts w:hint="eastAsia" w:ascii="宋体" w:hAnsi="宋体" w:eastAsia="宋体" w:cs="宋体"/>
          <w:sz w:val="24"/>
        </w:rPr>
        <w:t>员工的月计薪天数按平均21.75天计算（每年法定节假日11天，公休日104天，月计薪天数＝[365天 -104天]/12）。日工资＝（岗位工资+效益工资+岗位津贴+绩效工资）/21.75。如员工缺勤按缺勤工作日天数扣除工资。</w:t>
      </w:r>
    </w:p>
    <w:p>
      <w:pPr>
        <w:numPr>
          <w:ilvl w:val="0"/>
          <w:numId w:val="1"/>
        </w:numPr>
        <w:tabs>
          <w:tab w:val="left" w:pos="1918"/>
        </w:tabs>
        <w:spacing w:line="360" w:lineRule="auto"/>
        <w:rPr>
          <w:rFonts w:hint="eastAsia" w:ascii="宋体" w:hAnsi="宋体" w:eastAsia="宋体" w:cs="宋体"/>
          <w:sz w:val="24"/>
        </w:rPr>
      </w:pPr>
      <w:r>
        <w:rPr>
          <w:rFonts w:hint="eastAsia" w:ascii="宋体" w:hAnsi="宋体" w:eastAsia="宋体" w:cs="宋体"/>
          <w:sz w:val="24"/>
        </w:rPr>
        <w:t>加班工资的适用范围：</w:t>
      </w:r>
    </w:p>
    <w:p>
      <w:pPr>
        <w:tabs>
          <w:tab w:val="left" w:pos="720"/>
        </w:tabs>
        <w:spacing w:line="360" w:lineRule="auto"/>
        <w:ind w:firstLine="360" w:firstLineChars="150"/>
        <w:rPr>
          <w:rFonts w:hint="eastAsia" w:ascii="宋体" w:hAnsi="宋体" w:eastAsia="宋体" w:cs="宋体"/>
          <w:sz w:val="24"/>
        </w:rPr>
      </w:pPr>
      <w:r>
        <w:rPr>
          <w:rFonts w:hint="eastAsia" w:ascii="宋体" w:hAnsi="宋体" w:eastAsia="宋体" w:cs="宋体"/>
          <w:sz w:val="24"/>
        </w:rPr>
        <w:t>实行弹性工作时间的岗位无加班费；其他人员不鼓励加班，工作应尽量在工作时间内完成，但是确因工作任务紧急或直接上级安排可以申报加班，加班时间尽量按调休处理</w:t>
      </w:r>
      <w:r>
        <w:rPr>
          <w:rFonts w:hint="eastAsia" w:ascii="宋体" w:hAnsi="宋体" w:eastAsia="宋体" w:cs="宋体"/>
          <w:sz w:val="24"/>
        </w:rPr>
        <w:t>。</w:t>
      </w:r>
    </w:p>
    <w:p>
      <w:pPr>
        <w:numPr>
          <w:ilvl w:val="0"/>
          <w:numId w:val="1"/>
        </w:numPr>
        <w:tabs>
          <w:tab w:val="left" w:pos="540"/>
          <w:tab w:val="left" w:pos="1918"/>
        </w:tabs>
        <w:spacing w:line="360" w:lineRule="auto"/>
        <w:ind w:left="0" w:firstLine="480"/>
        <w:rPr>
          <w:rFonts w:hint="eastAsia" w:ascii="宋体" w:hAnsi="宋体" w:eastAsia="宋体" w:cs="宋体"/>
          <w:sz w:val="24"/>
        </w:rPr>
      </w:pPr>
      <w:r>
        <w:rPr>
          <w:rFonts w:hint="eastAsia" w:ascii="宋体" w:hAnsi="宋体" w:eastAsia="宋体" w:cs="宋体"/>
          <w:sz w:val="24"/>
        </w:rPr>
        <w:t>新进员工试用期间按拟聘任岗位对应工资的80%发放，</w:t>
      </w:r>
      <w:r>
        <w:rPr>
          <w:rFonts w:hint="eastAsia" w:ascii="宋体" w:hAnsi="宋体" w:eastAsia="宋体" w:cs="宋体"/>
          <w:color w:val="000000"/>
          <w:spacing w:val="4"/>
          <w:sz w:val="24"/>
        </w:rPr>
        <w:t>新聘</w:t>
      </w:r>
      <w:r>
        <w:rPr>
          <w:rFonts w:hint="eastAsia" w:ascii="宋体" w:hAnsi="宋体" w:eastAsia="宋体" w:cs="宋体"/>
          <w:color w:val="000000"/>
          <w:spacing w:val="4"/>
          <w:sz w:val="24"/>
        </w:rPr>
        <w:t>员工</w:t>
      </w:r>
      <w:r>
        <w:rPr>
          <w:rFonts w:hint="eastAsia" w:ascii="宋体" w:hAnsi="宋体" w:eastAsia="宋体" w:cs="宋体"/>
          <w:color w:val="000000"/>
          <w:spacing w:val="4"/>
          <w:sz w:val="24"/>
        </w:rPr>
        <w:t>出勤</w:t>
      </w:r>
      <w:r>
        <w:rPr>
          <w:rFonts w:hint="eastAsia" w:ascii="宋体" w:hAnsi="宋体" w:eastAsia="宋体" w:cs="宋体"/>
          <w:color w:val="000000"/>
          <w:kern w:val="0"/>
          <w:sz w:val="24"/>
          <w:szCs w:val="27"/>
        </w:rPr>
        <w:t>未满一个月者，当</w:t>
      </w:r>
      <w:r>
        <w:rPr>
          <w:rFonts w:hint="eastAsia" w:ascii="宋体" w:hAnsi="宋体" w:eastAsia="宋体" w:cs="宋体"/>
          <w:color w:val="000000"/>
          <w:spacing w:val="4"/>
          <w:sz w:val="24"/>
        </w:rPr>
        <w:t>月</w:t>
      </w:r>
      <w:r>
        <w:rPr>
          <w:rFonts w:hint="eastAsia" w:ascii="宋体" w:hAnsi="宋体" w:eastAsia="宋体" w:cs="宋体"/>
          <w:color w:val="000000"/>
          <w:kern w:val="0"/>
          <w:sz w:val="24"/>
          <w:szCs w:val="27"/>
        </w:rPr>
        <w:t>按实际出勤日数计算</w:t>
      </w:r>
      <w:r>
        <w:rPr>
          <w:rFonts w:hint="eastAsia" w:ascii="宋体" w:hAnsi="宋体" w:eastAsia="宋体" w:cs="宋体"/>
          <w:color w:val="000000"/>
          <w:spacing w:val="4"/>
          <w:sz w:val="24"/>
        </w:rPr>
        <w:t>工资</w:t>
      </w:r>
      <w:r>
        <w:rPr>
          <w:rFonts w:hint="eastAsia" w:ascii="宋体" w:hAnsi="宋体" w:eastAsia="宋体" w:cs="宋体"/>
          <w:color w:val="000000"/>
          <w:kern w:val="0"/>
          <w:sz w:val="24"/>
          <w:szCs w:val="27"/>
        </w:rPr>
        <w:t>。</w:t>
      </w:r>
    </w:p>
    <w:p>
      <w:pPr>
        <w:numPr>
          <w:ilvl w:val="0"/>
          <w:numId w:val="1"/>
        </w:numPr>
        <w:tabs>
          <w:tab w:val="left" w:pos="540"/>
          <w:tab w:val="left" w:pos="1918"/>
        </w:tabs>
        <w:spacing w:line="360" w:lineRule="auto"/>
        <w:ind w:left="0" w:firstLine="480"/>
        <w:rPr>
          <w:rFonts w:hint="eastAsia" w:ascii="宋体" w:hAnsi="宋体" w:eastAsia="宋体" w:cs="宋体"/>
          <w:sz w:val="24"/>
        </w:rPr>
      </w:pPr>
      <w:r>
        <w:rPr>
          <w:rFonts w:hint="eastAsia" w:ascii="宋体" w:hAnsi="宋体" w:eastAsia="宋体" w:cs="宋体"/>
          <w:color w:val="000000"/>
          <w:kern w:val="0"/>
          <w:sz w:val="24"/>
          <w:szCs w:val="27"/>
        </w:rPr>
        <w:t>见习期薪酬。</w:t>
      </w:r>
      <w:r>
        <w:rPr>
          <w:rFonts w:hint="eastAsia" w:ascii="宋体" w:hAnsi="宋体" w:eastAsia="宋体" w:cs="宋体"/>
          <w:sz w:val="24"/>
        </w:rPr>
        <w:t>应届大中专毕业生见习期满一年，试用考核合格，符合转正条件者，应办理转正手续，重新确定薪级。对工作能力特别强或工作表现特别优秀的见习期员工，经评议可提前转正。</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1862"/>
        <w:gridCol w:w="1862"/>
        <w:gridCol w:w="1862"/>
        <w:gridCol w:w="1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9854" w:type="dxa"/>
            <w:gridSpan w:val="5"/>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实习期员工工资等级表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0"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学    历</w:t>
            </w:r>
          </w:p>
        </w:tc>
        <w:tc>
          <w:tcPr>
            <w:tcW w:w="1971"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博士</w:t>
            </w:r>
          </w:p>
        </w:tc>
        <w:tc>
          <w:tcPr>
            <w:tcW w:w="1971"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硕士</w:t>
            </w:r>
          </w:p>
        </w:tc>
        <w:tc>
          <w:tcPr>
            <w:tcW w:w="1971"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本科</w:t>
            </w:r>
          </w:p>
        </w:tc>
        <w:tc>
          <w:tcPr>
            <w:tcW w:w="1971"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大专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0" w:type="dxa"/>
            <w:vAlign w:val="center"/>
          </w:tcPr>
          <w:p>
            <w:pPr>
              <w:ind w:firstLine="480" w:firstLineChars="200"/>
              <w:rPr>
                <w:rFonts w:hint="eastAsia" w:ascii="宋体" w:hAnsi="宋体" w:eastAsia="宋体" w:cs="宋体"/>
                <w:sz w:val="24"/>
              </w:rPr>
            </w:pPr>
            <w:r>
              <w:rPr>
                <w:rFonts w:hint="eastAsia" w:ascii="宋体" w:hAnsi="宋体" w:eastAsia="宋体" w:cs="宋体"/>
                <w:sz w:val="24"/>
              </w:rPr>
              <w:t xml:space="preserve"> 实习工资（元）</w:t>
            </w:r>
          </w:p>
        </w:tc>
        <w:tc>
          <w:tcPr>
            <w:tcW w:w="1971"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3000</w:t>
            </w:r>
          </w:p>
        </w:tc>
        <w:tc>
          <w:tcPr>
            <w:tcW w:w="1971"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2000</w:t>
            </w:r>
          </w:p>
        </w:tc>
        <w:tc>
          <w:tcPr>
            <w:tcW w:w="1971"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1500</w:t>
            </w:r>
          </w:p>
        </w:tc>
        <w:tc>
          <w:tcPr>
            <w:tcW w:w="1971" w:type="dxa"/>
            <w:vAlign w:val="center"/>
          </w:tcPr>
          <w:p>
            <w:pPr>
              <w:ind w:firstLine="480" w:firstLineChars="200"/>
              <w:jc w:val="center"/>
              <w:rPr>
                <w:rFonts w:hint="eastAsia" w:ascii="宋体" w:hAnsi="宋体" w:eastAsia="宋体" w:cs="宋体"/>
                <w:sz w:val="24"/>
              </w:rPr>
            </w:pPr>
            <w:r>
              <w:rPr>
                <w:rFonts w:hint="eastAsia" w:ascii="宋体" w:hAnsi="宋体" w:eastAsia="宋体" w:cs="宋体"/>
                <w:sz w:val="24"/>
              </w:rPr>
              <w:t>1300</w:t>
            </w:r>
          </w:p>
        </w:tc>
      </w:tr>
    </w:tbl>
    <w:p>
      <w:pPr>
        <w:numPr>
          <w:ilvl w:val="0"/>
          <w:numId w:val="1"/>
        </w:numPr>
        <w:tabs>
          <w:tab w:val="left" w:pos="540"/>
          <w:tab w:val="left" w:pos="1918"/>
        </w:tabs>
        <w:spacing w:line="360" w:lineRule="auto"/>
        <w:ind w:left="0" w:firstLine="480"/>
        <w:rPr>
          <w:rFonts w:hint="eastAsia" w:ascii="宋体" w:hAnsi="宋体" w:eastAsia="宋体" w:cs="宋体"/>
          <w:sz w:val="24"/>
        </w:rPr>
      </w:pPr>
      <w:r>
        <w:rPr>
          <w:rFonts w:hint="eastAsia" w:ascii="宋体" w:hAnsi="宋体" w:eastAsia="宋体" w:cs="宋体"/>
          <w:kern w:val="0"/>
          <w:sz w:val="24"/>
          <w:szCs w:val="27"/>
        </w:rPr>
        <w:t>解约者当月工资给付至解约生效日；因故停职、待岗或者自动离职（旷工3日以上者）的，即日冻结工资计算。</w:t>
      </w:r>
    </w:p>
    <w:p>
      <w:pPr>
        <w:numPr>
          <w:ilvl w:val="0"/>
          <w:numId w:val="1"/>
        </w:numPr>
        <w:tabs>
          <w:tab w:val="left" w:pos="540"/>
          <w:tab w:val="left" w:pos="1918"/>
        </w:tabs>
        <w:spacing w:line="360" w:lineRule="auto"/>
        <w:ind w:left="0" w:firstLine="480"/>
        <w:rPr>
          <w:rFonts w:hint="eastAsia" w:ascii="宋体" w:hAnsi="宋体" w:eastAsia="宋体" w:cs="宋体"/>
          <w:sz w:val="24"/>
        </w:rPr>
      </w:pPr>
      <w:r>
        <w:rPr>
          <w:rFonts w:hint="eastAsia" w:ascii="宋体" w:hAnsi="宋体" w:eastAsia="宋体" w:cs="宋体"/>
          <w:sz w:val="24"/>
        </w:rPr>
        <w:t>员工月结算工资在次月的1</w:t>
      </w:r>
      <w:r>
        <w:rPr>
          <w:rFonts w:hint="eastAsia" w:ascii="宋体" w:hAnsi="宋体" w:eastAsia="宋体" w:cs="宋体"/>
        </w:rPr>
        <w:t>0</w:t>
      </w:r>
      <w:r>
        <w:rPr>
          <w:rFonts w:hint="eastAsia" w:ascii="宋体" w:hAnsi="宋体" w:eastAsia="宋体" w:cs="宋体"/>
          <w:sz w:val="24"/>
        </w:rPr>
        <w:t>日发放。如1</w:t>
      </w:r>
      <w:r>
        <w:rPr>
          <w:rFonts w:hint="eastAsia" w:ascii="宋体" w:hAnsi="宋体" w:eastAsia="宋体" w:cs="宋体"/>
        </w:rPr>
        <w:t>0</w:t>
      </w:r>
      <w:r>
        <w:rPr>
          <w:rFonts w:hint="eastAsia" w:ascii="宋体" w:hAnsi="宋体" w:eastAsia="宋体" w:cs="宋体"/>
          <w:sz w:val="24"/>
        </w:rPr>
        <w:t>日为节假日或公休日在节假日或公休日的相应延续发放。公司因故延迟发放时提前一日知会员工。</w:t>
      </w:r>
    </w:p>
    <w:p>
      <w:pPr>
        <w:numPr>
          <w:ilvl w:val="0"/>
          <w:numId w:val="1"/>
        </w:numPr>
        <w:tabs>
          <w:tab w:val="left" w:pos="540"/>
          <w:tab w:val="left" w:pos="1918"/>
        </w:tabs>
        <w:spacing w:line="360" w:lineRule="auto"/>
        <w:ind w:left="0" w:firstLine="480"/>
        <w:rPr>
          <w:rFonts w:hint="eastAsia" w:ascii="宋体" w:hAnsi="宋体" w:eastAsia="宋体" w:cs="宋体"/>
          <w:sz w:val="24"/>
        </w:rPr>
      </w:pPr>
      <w:r>
        <w:rPr>
          <w:rFonts w:hint="eastAsia" w:ascii="宋体" w:hAnsi="宋体" w:eastAsia="宋体" w:cs="宋体"/>
          <w:sz w:val="24"/>
        </w:rPr>
        <w:t>员工工资以人民币支付。工资发放时时精确至元。支付时公司代扣代缴</w:t>
      </w:r>
      <w:r>
        <w:rPr>
          <w:rFonts w:hint="eastAsia" w:ascii="宋体" w:hAnsi="宋体" w:eastAsia="宋体" w:cs="宋体"/>
          <w:sz w:val="24"/>
        </w:rPr>
        <w:t>个人所得税、社会保险金个人部分等。</w:t>
      </w:r>
    </w:p>
    <w:p>
      <w:pPr>
        <w:numPr>
          <w:ilvl w:val="0"/>
          <w:numId w:val="1"/>
        </w:numPr>
        <w:tabs>
          <w:tab w:val="left" w:pos="540"/>
          <w:tab w:val="left" w:pos="1918"/>
        </w:tabs>
        <w:spacing w:line="360" w:lineRule="auto"/>
        <w:rPr>
          <w:rFonts w:hint="eastAsia" w:ascii="宋体" w:hAnsi="宋体" w:eastAsia="宋体" w:cs="宋体"/>
          <w:sz w:val="24"/>
        </w:rPr>
      </w:pPr>
      <w:r>
        <w:rPr>
          <w:rFonts w:hint="eastAsia" w:ascii="宋体" w:hAnsi="宋体" w:eastAsia="宋体" w:cs="宋体"/>
          <w:sz w:val="24"/>
        </w:rPr>
        <w:t>离开公司员工的工资：</w:t>
      </w:r>
    </w:p>
    <w:p>
      <w:pPr>
        <w:numPr>
          <w:ilvl w:val="0"/>
          <w:numId w:val="5"/>
        </w:numPr>
        <w:spacing w:line="360" w:lineRule="auto"/>
        <w:ind w:left="0" w:firstLine="567"/>
        <w:rPr>
          <w:rFonts w:hint="eastAsia" w:ascii="宋体" w:hAnsi="宋体" w:eastAsia="宋体" w:cs="宋体"/>
          <w:sz w:val="24"/>
        </w:rPr>
      </w:pPr>
      <w:r>
        <w:rPr>
          <w:rFonts w:hint="eastAsia" w:ascii="宋体" w:hAnsi="宋体" w:eastAsia="宋体" w:cs="宋体"/>
          <w:sz w:val="24"/>
        </w:rPr>
        <w:t>因违纪解聘的员工：解聘后取消所有剩余基本工资、绩效工资、福利和年终奖。</w:t>
      </w:r>
    </w:p>
    <w:p>
      <w:pPr>
        <w:numPr>
          <w:ilvl w:val="0"/>
          <w:numId w:val="5"/>
        </w:numPr>
        <w:tabs>
          <w:tab w:val="left" w:pos="1740"/>
          <w:tab w:val="left" w:pos="1918"/>
        </w:tabs>
        <w:spacing w:line="360" w:lineRule="auto"/>
        <w:rPr>
          <w:rFonts w:hint="eastAsia" w:ascii="宋体" w:hAnsi="宋体" w:eastAsia="宋体" w:cs="宋体"/>
          <w:sz w:val="24"/>
        </w:rPr>
      </w:pPr>
      <w:r>
        <w:rPr>
          <w:rFonts w:hint="eastAsia" w:ascii="宋体" w:hAnsi="宋体" w:eastAsia="宋体" w:cs="宋体"/>
          <w:sz w:val="24"/>
        </w:rPr>
        <w:t>辞职/裁员：根据相关国家法律规定及公司所受影响程度，视具体情况来定。</w:t>
      </w:r>
    </w:p>
    <w:p>
      <w:pPr>
        <w:numPr>
          <w:ilvl w:val="0"/>
          <w:numId w:val="5"/>
        </w:numPr>
        <w:tabs>
          <w:tab w:val="left" w:pos="1740"/>
          <w:tab w:val="left" w:pos="1918"/>
        </w:tabs>
        <w:spacing w:line="360" w:lineRule="auto"/>
        <w:ind w:left="0" w:firstLine="567"/>
        <w:rPr>
          <w:rFonts w:hint="eastAsia" w:ascii="宋体" w:hAnsi="宋体" w:eastAsia="宋体" w:cs="宋体"/>
          <w:sz w:val="24"/>
        </w:rPr>
      </w:pPr>
      <w:r>
        <w:rPr>
          <w:rFonts w:hint="eastAsia" w:ascii="宋体" w:hAnsi="宋体" w:eastAsia="宋体" w:cs="宋体"/>
          <w:sz w:val="24"/>
        </w:rPr>
        <w:t>降职、升职、平调：员工岗位发生调整的，绩效工资分时间段计算；</w:t>
      </w:r>
    </w:p>
    <w:p>
      <w:pPr>
        <w:numPr>
          <w:ilvl w:val="0"/>
          <w:numId w:val="1"/>
        </w:numPr>
        <w:tabs>
          <w:tab w:val="left" w:pos="540"/>
          <w:tab w:val="left" w:pos="1918"/>
          <w:tab w:val="clear" w:pos="1320"/>
        </w:tabs>
        <w:spacing w:line="360" w:lineRule="auto"/>
        <w:ind w:left="0" w:firstLine="480"/>
        <w:rPr>
          <w:rFonts w:hint="eastAsia" w:ascii="宋体" w:hAnsi="宋体" w:eastAsia="宋体" w:cs="宋体"/>
          <w:sz w:val="24"/>
        </w:rPr>
      </w:pPr>
      <w:bookmarkStart w:id="22" w:name="_Toc28425167"/>
      <w:bookmarkStart w:id="23" w:name="_Toc28425222"/>
      <w:bookmarkStart w:id="24" w:name="_Toc3628241"/>
      <w:bookmarkStart w:id="25" w:name="_Toc16492372"/>
      <w:bookmarkStart w:id="26" w:name="_Toc28425421"/>
      <w:r>
        <w:rPr>
          <w:rFonts w:hint="eastAsia" w:ascii="宋体" w:hAnsi="宋体" w:eastAsia="宋体" w:cs="宋体"/>
          <w:bCs/>
          <w:sz w:val="24"/>
        </w:rPr>
        <w:t>员工薪酬属于保密信息，员工不得向其他任何单位和个人泄漏任何与公司薪酬制度相关的信息，也不得探听其他员工的薪酬，否则视为严重违反公司规章制度。</w:t>
      </w:r>
    </w:p>
    <w:p>
      <w:pPr>
        <w:adjustRightInd w:val="0"/>
        <w:snapToGrid w:val="0"/>
        <w:spacing w:before="360" w:after="360" w:line="360" w:lineRule="auto"/>
        <w:jc w:val="center"/>
        <w:rPr>
          <w:rFonts w:hint="eastAsia" w:ascii="宋体" w:hAnsi="宋体" w:eastAsia="宋体" w:cs="宋体"/>
          <w:b/>
          <w:sz w:val="28"/>
          <w:szCs w:val="28"/>
        </w:rPr>
      </w:pPr>
      <w:r>
        <w:rPr>
          <w:rFonts w:hint="eastAsia" w:ascii="宋体" w:hAnsi="宋体" w:eastAsia="宋体" w:cs="宋体"/>
          <w:b/>
          <w:sz w:val="28"/>
          <w:szCs w:val="28"/>
        </w:rPr>
        <w:t>第八章　 附  则</w:t>
      </w:r>
    </w:p>
    <w:p>
      <w:pPr>
        <w:numPr>
          <w:ilvl w:val="0"/>
          <w:numId w:val="1"/>
        </w:numPr>
        <w:tabs>
          <w:tab w:val="left" w:pos="540"/>
          <w:tab w:val="left" w:pos="1918"/>
          <w:tab w:val="clear" w:pos="1320"/>
        </w:tabs>
        <w:spacing w:line="360" w:lineRule="auto"/>
        <w:ind w:left="0" w:firstLine="480"/>
        <w:rPr>
          <w:rFonts w:hint="eastAsia" w:ascii="宋体" w:hAnsi="宋体" w:eastAsia="宋体" w:cs="宋体"/>
          <w:sz w:val="24"/>
        </w:rPr>
      </w:pPr>
      <w:r>
        <w:rPr>
          <w:rFonts w:hint="eastAsia" w:ascii="宋体" w:hAnsi="宋体" w:eastAsia="宋体" w:cs="宋体"/>
          <w:bCs/>
          <w:sz w:val="24"/>
        </w:rPr>
        <w:t>本办法自2016年6月1日起实施。本办法实施后，以往执行的其它各类劳资管理规定、办法中凡与本制度有不一致之处，均以本办法为准.</w:t>
      </w:r>
    </w:p>
    <w:p>
      <w:pPr>
        <w:numPr>
          <w:ilvl w:val="0"/>
          <w:numId w:val="1"/>
        </w:numPr>
        <w:tabs>
          <w:tab w:val="left" w:pos="540"/>
          <w:tab w:val="left" w:pos="1918"/>
          <w:tab w:val="clear" w:pos="1320"/>
        </w:tabs>
        <w:spacing w:line="360" w:lineRule="auto"/>
        <w:ind w:left="0" w:firstLine="480"/>
        <w:rPr>
          <w:rFonts w:hint="eastAsia" w:ascii="宋体" w:hAnsi="宋体" w:eastAsia="宋体" w:cs="宋体"/>
        </w:rPr>
      </w:pPr>
      <w:r>
        <w:rPr>
          <w:rFonts w:hint="eastAsia" w:ascii="宋体" w:hAnsi="宋体" w:eastAsia="宋体" w:cs="宋体"/>
          <w:sz w:val="24"/>
        </w:rPr>
        <w:t>本</w:t>
      </w:r>
      <w:r>
        <w:rPr>
          <w:rFonts w:hint="eastAsia" w:ascii="宋体" w:hAnsi="宋体" w:eastAsia="宋体" w:cs="宋体"/>
          <w:sz w:val="24"/>
        </w:rPr>
        <w:t>制度</w:t>
      </w:r>
      <w:r>
        <w:rPr>
          <w:rFonts w:hint="eastAsia" w:ascii="宋体" w:hAnsi="宋体" w:eastAsia="宋体" w:cs="宋体"/>
          <w:sz w:val="24"/>
        </w:rPr>
        <w:t>所未规定的事项，按</w:t>
      </w:r>
      <w:r>
        <w:rPr>
          <w:rFonts w:hint="eastAsia" w:ascii="宋体" w:hAnsi="宋体" w:eastAsia="宋体" w:cs="宋体"/>
          <w:sz w:val="24"/>
        </w:rPr>
        <w:t>公司原</w:t>
      </w:r>
      <w:r>
        <w:rPr>
          <w:rFonts w:hint="eastAsia" w:ascii="宋体" w:hAnsi="宋体" w:eastAsia="宋体" w:cs="宋体"/>
          <w:sz w:val="24"/>
        </w:rPr>
        <w:t>有关规定</w:t>
      </w:r>
      <w:r>
        <w:rPr>
          <w:rFonts w:hint="eastAsia" w:ascii="宋体" w:hAnsi="宋体" w:eastAsia="宋体" w:cs="宋体"/>
          <w:sz w:val="24"/>
        </w:rPr>
        <w:t>执行</w:t>
      </w:r>
      <w:r>
        <w:rPr>
          <w:rFonts w:hint="eastAsia" w:ascii="宋体" w:hAnsi="宋体" w:eastAsia="宋体" w:cs="宋体"/>
          <w:sz w:val="24"/>
        </w:rPr>
        <w:t>。</w:t>
      </w:r>
      <w:r>
        <w:rPr>
          <w:rFonts w:hint="eastAsia" w:ascii="宋体" w:hAnsi="宋体" w:eastAsia="宋体" w:cs="宋体"/>
          <w:sz w:val="24"/>
        </w:rPr>
        <w:t>未尽事宜</w:t>
      </w:r>
      <w:r>
        <w:rPr>
          <w:rFonts w:hint="eastAsia" w:ascii="宋体" w:hAnsi="宋体" w:eastAsia="宋体" w:cs="宋体"/>
          <w:sz w:val="24"/>
        </w:rPr>
        <w:t>由人力资源部负责解释</w:t>
      </w:r>
      <w:r>
        <w:rPr>
          <w:rFonts w:hint="eastAsia" w:ascii="宋体" w:hAnsi="宋体" w:eastAsia="宋体" w:cs="宋体"/>
          <w:sz w:val="24"/>
        </w:rPr>
        <w:t>。</w:t>
      </w:r>
      <w:bookmarkEnd w:id="22"/>
      <w:bookmarkEnd w:id="23"/>
      <w:bookmarkEnd w:id="24"/>
      <w:bookmarkEnd w:id="25"/>
      <w:bookmarkEnd w:id="26"/>
      <w:bookmarkStart w:id="27" w:name="_Toc28425223"/>
      <w:bookmarkStart w:id="28" w:name="_Toc28425168"/>
      <w:bookmarkStart w:id="29" w:name="_Toc28425422"/>
      <w:bookmarkStart w:id="30" w:name="_Toc16492373"/>
    </w:p>
    <w:p>
      <w:pPr>
        <w:rPr>
          <w:rFonts w:hint="eastAsia" w:ascii="宋体" w:hAnsi="宋体" w:eastAsia="宋体" w:cs="宋体"/>
        </w:rPr>
        <w:sectPr>
          <w:headerReference r:id="rId8" w:type="default"/>
          <w:footerReference r:id="rId9" w:type="default"/>
          <w:pgSz w:w="11906" w:h="16838"/>
          <w:pgMar w:top="1440" w:right="1418" w:bottom="1440" w:left="1418" w:header="851" w:footer="992" w:gutter="0"/>
          <w:cols w:space="425" w:num="1"/>
          <w:docGrid w:type="lines" w:linePitch="312" w:charSpace="0"/>
        </w:sectPr>
      </w:pPr>
    </w:p>
    <w:p>
      <w:pPr>
        <w:rPr>
          <w:rFonts w:hint="eastAsia" w:ascii="宋体" w:hAnsi="宋体" w:eastAsia="宋体" w:cs="宋体"/>
          <w:b/>
          <w:sz w:val="24"/>
        </w:rPr>
      </w:pPr>
      <w:r>
        <w:rPr>
          <w:rFonts w:hint="eastAsia" w:ascii="宋体" w:hAnsi="宋体" w:eastAsia="宋体" w:cs="宋体"/>
          <w:b/>
          <w:sz w:val="24"/>
        </w:rPr>
        <w:t>附件一：岗位级别标准</w:t>
      </w:r>
    </w:p>
    <w:p>
      <w:pPr>
        <w:spacing w:line="360" w:lineRule="auto"/>
        <w:rPr>
          <w:rFonts w:hint="eastAsia" w:ascii="宋体" w:hAnsi="宋体" w:eastAsia="宋体" w:cs="宋体"/>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一级：一级高管</w:t>
      </w:r>
    </w:p>
    <w:p>
      <w:pPr>
        <w:spacing w:line="360" w:lineRule="auto"/>
        <w:rPr>
          <w:rFonts w:hint="eastAsia" w:ascii="宋体" w:hAnsi="宋体" w:eastAsia="宋体" w:cs="宋体"/>
          <w:sz w:val="28"/>
          <w:szCs w:val="28"/>
        </w:rPr>
      </w:pPr>
      <w:r>
        <w:rPr>
          <w:rFonts w:hint="eastAsia" w:ascii="宋体" w:hAnsi="宋体" w:eastAsia="宋体" w:cs="宋体"/>
          <w:sz w:val="28"/>
          <w:szCs w:val="28"/>
        </w:rPr>
        <w:t>二级：二级高管</w:t>
      </w:r>
    </w:p>
    <w:p>
      <w:pPr>
        <w:spacing w:line="360" w:lineRule="auto"/>
        <w:rPr>
          <w:rFonts w:hint="eastAsia" w:ascii="宋体" w:hAnsi="宋体" w:eastAsia="宋体" w:cs="宋体"/>
          <w:sz w:val="28"/>
          <w:szCs w:val="28"/>
        </w:rPr>
      </w:pPr>
      <w:r>
        <w:rPr>
          <w:rFonts w:hint="eastAsia" w:ascii="宋体" w:hAnsi="宋体" w:eastAsia="宋体" w:cs="宋体"/>
          <w:sz w:val="28"/>
          <w:szCs w:val="28"/>
        </w:rPr>
        <w:t>三级：经理          高级工程师</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四级：副经理        中级工程师     </w:t>
      </w:r>
    </w:p>
    <w:p>
      <w:pPr>
        <w:spacing w:line="360" w:lineRule="auto"/>
        <w:rPr>
          <w:rFonts w:hint="eastAsia" w:ascii="宋体" w:hAnsi="宋体" w:eastAsia="宋体" w:cs="宋体"/>
          <w:sz w:val="28"/>
          <w:szCs w:val="28"/>
        </w:rPr>
      </w:pPr>
      <w:r>
        <w:rPr>
          <w:rFonts w:hint="eastAsia" w:ascii="宋体" w:hAnsi="宋体" w:eastAsia="宋体" w:cs="宋体"/>
          <w:sz w:val="28"/>
          <w:szCs w:val="28"/>
        </w:rPr>
        <w:t>五级：部门主管      初级工程师</w:t>
      </w:r>
    </w:p>
    <w:p>
      <w:pPr>
        <w:spacing w:line="360" w:lineRule="auto"/>
        <w:rPr>
          <w:rFonts w:hint="eastAsia" w:ascii="宋体" w:hAnsi="宋体" w:eastAsia="宋体" w:cs="宋体"/>
          <w:sz w:val="28"/>
          <w:szCs w:val="28"/>
        </w:rPr>
      </w:pPr>
      <w:r>
        <w:rPr>
          <w:rFonts w:hint="eastAsia" w:ascii="宋体" w:hAnsi="宋体" w:eastAsia="宋体" w:cs="宋体"/>
          <w:sz w:val="28"/>
          <w:szCs w:val="28"/>
        </w:rPr>
        <w:t>六级：程序员        一级内勤</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七级：二级内勤  </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color w:val="FF0000"/>
          <w:sz w:val="28"/>
          <w:szCs w:val="28"/>
        </w:rPr>
      </w:pPr>
    </w:p>
    <w:p>
      <w:pPr>
        <w:spacing w:line="300" w:lineRule="exact"/>
        <w:rPr>
          <w:rFonts w:hint="eastAsia" w:ascii="宋体" w:hAnsi="宋体" w:eastAsia="宋体" w:cs="宋体"/>
          <w:color w:val="FF0000"/>
          <w:szCs w:val="21"/>
        </w:rPr>
      </w:pPr>
      <w:r>
        <w:rPr>
          <w:rFonts w:hint="eastAsia" w:ascii="宋体" w:hAnsi="宋体" w:eastAsia="宋体" w:cs="宋体"/>
          <w:color w:val="FF0000"/>
          <w:szCs w:val="21"/>
        </w:rPr>
        <w:t>说明：</w:t>
      </w:r>
    </w:p>
    <w:p>
      <w:pPr>
        <w:spacing w:line="300" w:lineRule="exact"/>
        <w:rPr>
          <w:rFonts w:hint="eastAsia" w:ascii="宋体" w:hAnsi="宋体" w:eastAsia="宋体" w:cs="宋体"/>
          <w:szCs w:val="21"/>
        </w:rPr>
      </w:pPr>
      <w:r>
        <w:rPr>
          <w:rFonts w:hint="eastAsia" w:ascii="宋体" w:hAnsi="宋体" w:eastAsia="宋体" w:cs="宋体"/>
          <w:szCs w:val="21"/>
        </w:rPr>
        <w:t>岗位级别标准分为管理岗和技术岗。管理岗为部门主管、副经理、经理、二级高管、一级高管；技术岗为初级工程师、中级工程师、高级工程师；五级以下岗位为基层岗位。管理岗比同等级别的技术岗位增加岗位津贴，津贴设置标准为：部门主管（200元）、副经理（300元）、经理（400元）、二级高管（500元）、一级高管（600元）</w:t>
      </w:r>
    </w:p>
    <w:p>
      <w:pPr>
        <w:spacing w:line="300" w:lineRule="exact"/>
        <w:rPr>
          <w:rFonts w:hint="eastAsia" w:ascii="宋体" w:hAnsi="宋体" w:eastAsia="宋体" w:cs="宋体"/>
          <w:color w:val="FF0000"/>
          <w:szCs w:val="21"/>
        </w:rPr>
      </w:pPr>
      <w:r>
        <w:rPr>
          <w:rFonts w:hint="eastAsia" w:ascii="宋体" w:hAnsi="宋体" w:eastAsia="宋体" w:cs="宋体"/>
          <w:szCs w:val="21"/>
        </w:rPr>
        <w:t>高级工程师包括：系统分析师/架构师、高级产品需求分析师、高级数据处理规划师/工程师、高级测试工程师、高级项目经理、</w:t>
      </w:r>
      <w:r>
        <w:rPr>
          <w:rFonts w:hint="eastAsia" w:ascii="宋体" w:hAnsi="宋体" w:eastAsia="宋体" w:cs="宋体"/>
        </w:rPr>
        <w:t>三维引擎架构师、产品经理、</w:t>
      </w:r>
    </w:p>
    <w:p>
      <w:pPr>
        <w:spacing w:line="300" w:lineRule="exact"/>
        <w:rPr>
          <w:rFonts w:hint="eastAsia" w:ascii="宋体" w:hAnsi="宋体" w:eastAsia="宋体" w:cs="宋体"/>
          <w:color w:val="FF0000"/>
          <w:szCs w:val="21"/>
        </w:rPr>
      </w:pPr>
      <w:r>
        <w:rPr>
          <w:rFonts w:hint="eastAsia" w:ascii="宋体" w:hAnsi="宋体" w:eastAsia="宋体" w:cs="宋体"/>
          <w:szCs w:val="21"/>
        </w:rPr>
        <w:t>中级工程师包括：研发工程师、</w:t>
      </w:r>
      <w:r>
        <w:rPr>
          <w:rFonts w:hint="eastAsia" w:ascii="宋体" w:hAnsi="宋体" w:eastAsia="宋体" w:cs="宋体"/>
        </w:rPr>
        <w:t>三维研发工程师、二维GIS研发工程师、数据库工程师、</w:t>
      </w:r>
      <w:r>
        <w:rPr>
          <w:rFonts w:hint="eastAsia" w:ascii="宋体" w:hAnsi="宋体" w:eastAsia="宋体" w:cs="宋体"/>
          <w:szCs w:val="21"/>
        </w:rPr>
        <w:t>软件设计工程师、中级测试工程师、中级产品需求分析师、</w:t>
      </w:r>
      <w:r>
        <w:rPr>
          <w:rFonts w:hint="eastAsia" w:ascii="宋体" w:hAnsi="宋体" w:eastAsia="宋体" w:cs="宋体"/>
        </w:rPr>
        <w:t>大客户经理/区域经理、项目经理、质量工程师</w:t>
      </w:r>
    </w:p>
    <w:p>
      <w:pPr>
        <w:spacing w:line="300" w:lineRule="exact"/>
        <w:rPr>
          <w:rFonts w:hint="eastAsia" w:ascii="宋体" w:hAnsi="宋体" w:eastAsia="宋体" w:cs="宋体"/>
          <w:color w:val="FF0000"/>
          <w:szCs w:val="21"/>
        </w:rPr>
      </w:pPr>
      <w:r>
        <w:rPr>
          <w:rFonts w:hint="eastAsia" w:ascii="宋体" w:hAnsi="宋体" w:eastAsia="宋体" w:cs="宋体"/>
          <w:szCs w:val="21"/>
        </w:rPr>
        <w:t>初级工程师包括：软件开发工程师、初级数据处理工程师、初级测试工程师、初级产品需求分析师、销售主管/市场主管、会计</w:t>
      </w:r>
    </w:p>
    <w:p>
      <w:pPr>
        <w:spacing w:line="300" w:lineRule="exact"/>
        <w:rPr>
          <w:rFonts w:hint="eastAsia" w:ascii="宋体" w:hAnsi="宋体" w:eastAsia="宋体" w:cs="宋体"/>
        </w:rPr>
      </w:pPr>
      <w:r>
        <w:rPr>
          <w:rFonts w:hint="eastAsia" w:ascii="宋体" w:hAnsi="宋体" w:eastAsia="宋体" w:cs="宋体"/>
        </w:rPr>
        <w:t>六级岗位包括：程序员、初级测试员、数据处理员、网络管理员、出纳、业务员</w:t>
      </w:r>
    </w:p>
    <w:p>
      <w:pPr>
        <w:spacing w:line="300" w:lineRule="exact"/>
        <w:rPr>
          <w:rFonts w:hint="eastAsia" w:ascii="宋体" w:hAnsi="宋体" w:eastAsia="宋体" w:cs="宋体"/>
        </w:rPr>
      </w:pPr>
      <w:r>
        <w:rPr>
          <w:rFonts w:hint="eastAsia" w:ascii="宋体" w:hAnsi="宋体" w:eastAsia="宋体" w:cs="宋体"/>
        </w:rPr>
        <w:t>七级岗位包括：文员</w:t>
      </w:r>
    </w:p>
    <w:p>
      <w:pPr>
        <w:spacing w:line="300" w:lineRule="exact"/>
        <w:rPr>
          <w:rFonts w:hint="eastAsia" w:ascii="宋体" w:hAnsi="宋体" w:eastAsia="宋体" w:cs="宋体"/>
        </w:rPr>
      </w:pPr>
    </w:p>
    <w:p>
      <w:pPr>
        <w:spacing w:line="360" w:lineRule="auto"/>
        <w:rPr>
          <w:rFonts w:hint="eastAsia" w:ascii="宋体" w:hAnsi="宋体" w:eastAsia="宋体" w:cs="宋体"/>
          <w:b/>
          <w:sz w:val="24"/>
        </w:rPr>
      </w:pPr>
      <w:r>
        <w:rPr>
          <w:rFonts w:hint="eastAsia" w:ascii="宋体" w:hAnsi="宋体" w:eastAsia="宋体" w:cs="宋体"/>
          <w:b/>
          <w:sz w:val="24"/>
        </w:rPr>
        <w:t>附件二：工资档次表：（草拟）</w:t>
      </w:r>
      <w:bookmarkEnd w:id="27"/>
      <w:bookmarkEnd w:id="28"/>
      <w:bookmarkEnd w:id="29"/>
      <w:bookmarkEnd w:id="30"/>
    </w:p>
    <w:tbl>
      <w:tblPr>
        <w:tblStyle w:val="25"/>
        <w:tblW w:w="12791" w:type="dxa"/>
        <w:tblInd w:w="92" w:type="dxa"/>
        <w:tblLayout w:type="autofit"/>
        <w:tblCellMar>
          <w:top w:w="0" w:type="dxa"/>
          <w:left w:w="108" w:type="dxa"/>
          <w:bottom w:w="0" w:type="dxa"/>
          <w:right w:w="108" w:type="dxa"/>
        </w:tblCellMar>
      </w:tblPr>
      <w:tblGrid>
        <w:gridCol w:w="790"/>
        <w:gridCol w:w="1171"/>
        <w:gridCol w:w="1112"/>
        <w:gridCol w:w="966"/>
        <w:gridCol w:w="968"/>
        <w:gridCol w:w="1112"/>
        <w:gridCol w:w="1112"/>
        <w:gridCol w:w="1112"/>
        <w:gridCol w:w="1112"/>
        <w:gridCol w:w="1112"/>
        <w:gridCol w:w="1112"/>
        <w:gridCol w:w="1112"/>
      </w:tblGrid>
      <w:tr>
        <w:tblPrEx>
          <w:tblCellMar>
            <w:top w:w="0" w:type="dxa"/>
            <w:left w:w="108" w:type="dxa"/>
            <w:bottom w:w="0" w:type="dxa"/>
            <w:right w:w="108" w:type="dxa"/>
          </w:tblCellMar>
        </w:tblPrEx>
        <w:trPr>
          <w:trHeight w:val="293" w:hRule="atLeast"/>
        </w:trPr>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序号</w:t>
            </w:r>
          </w:p>
        </w:tc>
        <w:tc>
          <w:tcPr>
            <w:tcW w:w="11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岗位工资</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效益工资</w:t>
            </w:r>
          </w:p>
        </w:tc>
        <w:tc>
          <w:tcPr>
            <w:tcW w:w="9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全勤奖</w:t>
            </w:r>
          </w:p>
        </w:tc>
        <w:tc>
          <w:tcPr>
            <w:tcW w:w="968" w:type="dxa"/>
            <w:tcBorders>
              <w:top w:val="single" w:color="auto" w:sz="4" w:space="0"/>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工资</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1级</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2级</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3级</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4级</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5级</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6级</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7级</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三档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i/>
                <w:iCs/>
                <w:color w:val="000000"/>
                <w:kern w:val="0"/>
                <w:sz w:val="16"/>
                <w:szCs w:val="16"/>
              </w:rPr>
            </w:pPr>
            <w:r>
              <w:rPr>
                <w:rFonts w:hint="eastAsia" w:ascii="宋体" w:hAnsi="宋体" w:eastAsia="宋体" w:cs="宋体"/>
                <w:i/>
                <w:iCs/>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五档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六档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四档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五档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六档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五档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一档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13</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六档</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二档</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2"/>
                <w:szCs w:val="22"/>
              </w:rPr>
            </w:pPr>
          </w:p>
        </w:tc>
        <w:tc>
          <w:tcPr>
            <w:tcW w:w="1112" w:type="dxa"/>
            <w:tcBorders>
              <w:top w:val="nil"/>
              <w:left w:val="single" w:color="auto" w:sz="4" w:space="0"/>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16</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五档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一档</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17</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六档</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二档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2"/>
                <w:szCs w:val="22"/>
              </w:rPr>
            </w:pPr>
          </w:p>
        </w:tc>
        <w:tc>
          <w:tcPr>
            <w:tcW w:w="1112" w:type="dxa"/>
            <w:tcBorders>
              <w:top w:val="nil"/>
              <w:left w:val="single" w:color="auto" w:sz="4" w:space="0"/>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19</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四档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20</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0000"/>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五档</w:t>
            </w:r>
          </w:p>
        </w:tc>
        <w:tc>
          <w:tcPr>
            <w:tcW w:w="1112" w:type="dxa"/>
            <w:tcBorders>
              <w:top w:val="nil"/>
              <w:left w:val="nil"/>
              <w:bottom w:val="single" w:color="auto" w:sz="4" w:space="0"/>
              <w:right w:val="single" w:color="auto" w:sz="4" w:space="0"/>
            </w:tcBorders>
            <w:shd w:val="clear" w:color="000000" w:fill="FFFF00"/>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一档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00"/>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二档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22</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2"/>
                <w:szCs w:val="22"/>
              </w:rPr>
            </w:pPr>
          </w:p>
        </w:tc>
        <w:tc>
          <w:tcPr>
            <w:tcW w:w="1112" w:type="dxa"/>
            <w:tcBorders>
              <w:top w:val="nil"/>
              <w:left w:val="single" w:color="auto" w:sz="4" w:space="0"/>
              <w:bottom w:val="single" w:color="auto" w:sz="4" w:space="0"/>
              <w:right w:val="single" w:color="auto" w:sz="4" w:space="0"/>
            </w:tcBorders>
            <w:shd w:val="clear" w:color="000000" w:fill="FFFF00"/>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三档</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23</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FF00"/>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四档</w:t>
            </w:r>
          </w:p>
        </w:tc>
        <w:tc>
          <w:tcPr>
            <w:tcW w:w="1112" w:type="dxa"/>
            <w:tcBorders>
              <w:top w:val="nil"/>
              <w:left w:val="nil"/>
              <w:bottom w:val="single" w:color="auto" w:sz="4" w:space="0"/>
              <w:right w:val="single" w:color="auto" w:sz="4" w:space="0"/>
            </w:tcBorders>
            <w:shd w:val="clear" w:color="000000" w:fill="FF0000"/>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一档</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24</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0000"/>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二档</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117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000000" w:fill="FF0000"/>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三档</w:t>
            </w:r>
          </w:p>
        </w:tc>
      </w:tr>
      <w:tr>
        <w:tblPrEx>
          <w:tblCellMar>
            <w:top w:w="0" w:type="dxa"/>
            <w:left w:w="108" w:type="dxa"/>
            <w:bottom w:w="0" w:type="dxa"/>
            <w:right w:w="108" w:type="dxa"/>
          </w:tblCellMar>
        </w:tblPrEx>
        <w:trPr>
          <w:trHeight w:val="293" w:hRule="atLeast"/>
        </w:trPr>
        <w:tc>
          <w:tcPr>
            <w:tcW w:w="79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26</w:t>
            </w:r>
          </w:p>
        </w:tc>
        <w:tc>
          <w:tcPr>
            <w:tcW w:w="117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w:t>
            </w:r>
          </w:p>
        </w:tc>
        <w:tc>
          <w:tcPr>
            <w:tcW w:w="111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w:t>
            </w:r>
          </w:p>
        </w:tc>
        <w:tc>
          <w:tcPr>
            <w:tcW w:w="968" w:type="dxa"/>
            <w:tcBorders>
              <w:top w:val="nil"/>
              <w:left w:val="nil"/>
              <w:bottom w:val="single" w:color="auto" w:sz="4" w:space="0"/>
              <w:right w:val="single" w:color="auto" w:sz="4" w:space="0"/>
            </w:tcBorders>
            <w:shd w:val="clear" w:color="000000" w:fill="C5D9F1"/>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XXXXX</w:t>
            </w:r>
            <w:r>
              <w:rPr>
                <w:rFonts w:hint="eastAsia" w:ascii="宋体" w:hAnsi="宋体" w:eastAsia="宋体" w:cs="宋体"/>
                <w:kern w:val="0"/>
                <w:sz w:val="16"/>
                <w:szCs w:val="16"/>
              </w:rPr>
              <w:t xml:space="preserve">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2" w:type="dxa"/>
            <w:tcBorders>
              <w:top w:val="nil"/>
              <w:left w:val="nil"/>
              <w:bottom w:val="single" w:color="auto" w:sz="4" w:space="0"/>
              <w:right w:val="single" w:color="auto" w:sz="4" w:space="0"/>
            </w:tcBorders>
            <w:shd w:val="clear" w:color="000000" w:fill="FF0000"/>
            <w:vAlign w:val="center"/>
          </w:tcPr>
          <w:p>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四档</w:t>
            </w:r>
          </w:p>
        </w:tc>
      </w:tr>
    </w:tbl>
    <w:p>
      <w:pPr>
        <w:spacing w:line="360" w:lineRule="auto"/>
        <w:rPr>
          <w:rFonts w:hint="eastAsia" w:ascii="宋体" w:hAnsi="宋体" w:eastAsia="宋体" w:cs="宋体"/>
          <w:sz w:val="28"/>
          <w:szCs w:val="28"/>
        </w:rPr>
      </w:pPr>
    </w:p>
    <w:p>
      <w:pPr>
        <w:spacing w:line="360" w:lineRule="auto"/>
        <w:rPr>
          <w:rFonts w:hint="eastAsia" w:ascii="宋体" w:hAnsi="宋体" w:eastAsia="宋体" w:cs="宋体"/>
          <w:b/>
          <w:sz w:val="24"/>
        </w:rPr>
      </w:pPr>
      <w:r>
        <w:rPr>
          <w:rFonts w:hint="eastAsia" w:ascii="宋体" w:hAnsi="宋体" w:eastAsia="宋体" w:cs="宋体"/>
          <w:b/>
          <w:sz w:val="24"/>
        </w:rPr>
        <w:t>附件三：人员任职资格标准表</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4"/>
        <w:gridCol w:w="2835"/>
        <w:gridCol w:w="2835"/>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岗位级别</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岗位档次</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最低学历</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工作经验</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基本能力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一级</w:t>
            </w: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一档</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本科</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10年</w:t>
            </w:r>
          </w:p>
        </w:tc>
        <w:tc>
          <w:tcPr>
            <w:tcW w:w="2835"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二档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10年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10年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10年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10年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六档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10年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二级</w:t>
            </w: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一档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8年</w:t>
            </w:r>
          </w:p>
        </w:tc>
        <w:tc>
          <w:tcPr>
            <w:tcW w:w="2835"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二档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8年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8年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8年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8年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六档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8年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三级</w:t>
            </w: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一档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7年</w:t>
            </w:r>
          </w:p>
        </w:tc>
        <w:tc>
          <w:tcPr>
            <w:tcW w:w="2835"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二档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7年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7年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7年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7年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六档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7年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四级</w:t>
            </w: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一档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5年</w:t>
            </w:r>
          </w:p>
        </w:tc>
        <w:tc>
          <w:tcPr>
            <w:tcW w:w="2835"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二档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5年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5年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5年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5年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六档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本科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5年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五级</w:t>
            </w: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一档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4年</w:t>
            </w:r>
          </w:p>
        </w:tc>
        <w:tc>
          <w:tcPr>
            <w:tcW w:w="2835"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二档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4年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4年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4年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4年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六档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4年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六级</w:t>
            </w: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一档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3年</w:t>
            </w:r>
          </w:p>
        </w:tc>
        <w:tc>
          <w:tcPr>
            <w:tcW w:w="2835"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二档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2年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2年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六档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2年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七级</w:t>
            </w: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一档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2年</w:t>
            </w:r>
          </w:p>
        </w:tc>
        <w:tc>
          <w:tcPr>
            <w:tcW w:w="2835" w:type="dxa"/>
            <w:vMerge w:val="restar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详见岗位说明书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二档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2年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1年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五档</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1年</w:t>
            </w:r>
          </w:p>
        </w:tc>
        <w:tc>
          <w:tcPr>
            <w:tcW w:w="2835" w:type="dxa"/>
            <w:vMerge w:val="continue"/>
            <w:vAlign w:val="center"/>
          </w:tcPr>
          <w:p>
            <w:pPr>
              <w:spacing w:line="36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834" w:type="dxa"/>
            <w:vMerge w:val="continue"/>
            <w:vAlign w:val="center"/>
          </w:tcPr>
          <w:p>
            <w:pPr>
              <w:spacing w:line="360" w:lineRule="auto"/>
              <w:jc w:val="center"/>
              <w:rPr>
                <w:rFonts w:hint="eastAsia" w:ascii="宋体" w:hAnsi="宋体" w:eastAsia="宋体" w:cs="宋体"/>
                <w:szCs w:val="21"/>
              </w:rPr>
            </w:pP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六档</w:t>
            </w:r>
          </w:p>
        </w:tc>
        <w:tc>
          <w:tcPr>
            <w:tcW w:w="2835"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专科</w:t>
            </w:r>
          </w:p>
        </w:tc>
        <w:tc>
          <w:tcPr>
            <w:tcW w:w="2835" w:type="dxa"/>
            <w:vAlign w:val="center"/>
          </w:tcPr>
          <w:p>
            <w:pPr>
              <w:jc w:val="center"/>
              <w:rPr>
                <w:rFonts w:hint="eastAsia" w:ascii="宋体" w:hAnsi="宋体" w:eastAsia="宋体" w:cs="宋体"/>
              </w:rPr>
            </w:pPr>
            <w:r>
              <w:rPr>
                <w:rFonts w:hint="eastAsia" w:ascii="宋体" w:hAnsi="宋体" w:eastAsia="宋体" w:cs="宋体"/>
                <w:szCs w:val="21"/>
              </w:rPr>
              <w:t>1年</w:t>
            </w:r>
          </w:p>
        </w:tc>
        <w:tc>
          <w:tcPr>
            <w:tcW w:w="2835" w:type="dxa"/>
            <w:vMerge w:val="continue"/>
            <w:vAlign w:val="center"/>
          </w:tcPr>
          <w:p>
            <w:pPr>
              <w:spacing w:line="360" w:lineRule="auto"/>
              <w:jc w:val="center"/>
              <w:rPr>
                <w:rFonts w:hint="eastAsia" w:ascii="宋体" w:hAnsi="宋体" w:eastAsia="宋体" w:cs="宋体"/>
                <w:szCs w:val="21"/>
              </w:rPr>
            </w:pPr>
          </w:p>
        </w:tc>
      </w:tr>
    </w:tbl>
    <w:p>
      <w:pPr>
        <w:spacing w:line="360" w:lineRule="auto"/>
        <w:rPr>
          <w:rFonts w:hint="eastAsia" w:ascii="宋体" w:hAnsi="宋体" w:eastAsia="宋体" w:cs="宋体"/>
          <w:sz w:val="28"/>
          <w:szCs w:val="28"/>
        </w:rPr>
      </w:pPr>
    </w:p>
    <w:bookmarkEnd w:id="31"/>
    <w:sectPr>
      <w:pgSz w:w="16838" w:h="11906" w:orient="landscape"/>
      <w:pgMar w:top="1418" w:right="1440" w:bottom="1418"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1261" w:h="334" w:hRule="exact" w:wrap="around" w:vAnchor="text" w:hAnchor="page" w:x="5221" w:y="3"/>
      <w:rPr>
        <w:rStyle w:val="28"/>
      </w:rPr>
    </w:pPr>
  </w:p>
  <w:p>
    <w:pPr>
      <w:pStyle w:val="15"/>
      <w:wordWrap w:val="0"/>
      <w:ind w:right="-290" w:rightChars="-13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3A8C"/>
    <w:multiLevelType w:val="multilevel"/>
    <w:tmpl w:val="0A563A8C"/>
    <w:lvl w:ilvl="0" w:tentative="0">
      <w:start w:val="1"/>
      <w:numFmt w:val="chineseCountingThousand"/>
      <w:lvlText w:val="（%1）"/>
      <w:lvlJc w:val="left"/>
      <w:pPr>
        <w:tabs>
          <w:tab w:val="left" w:pos="1287"/>
        </w:tabs>
        <w:ind w:left="882" w:hanging="315"/>
      </w:pPr>
      <w:rPr>
        <w:rFonts w:hint="eastAsia"/>
        <w:sz w:val="24"/>
      </w:rPr>
    </w:lvl>
    <w:lvl w:ilvl="1" w:tentative="0">
      <w:start w:val="1"/>
      <w:numFmt w:val="japaneseCounting"/>
      <w:lvlText w:val="（%2）"/>
      <w:lvlJc w:val="left"/>
      <w:pPr>
        <w:tabs>
          <w:tab w:val="left" w:pos="1287"/>
        </w:tabs>
        <w:ind w:left="1287" w:hanging="720"/>
      </w:pPr>
      <w:rPr>
        <w:rFonts w:hint="eastAsia"/>
      </w:rPr>
    </w:lvl>
    <w:lvl w:ilvl="2" w:tentative="0">
      <w:start w:val="1"/>
      <w:numFmt w:val="decimal"/>
      <w:lvlText w:val="%3、"/>
      <w:lvlJc w:val="left"/>
      <w:pPr>
        <w:tabs>
          <w:tab w:val="left" w:pos="1707"/>
        </w:tabs>
        <w:ind w:left="1707" w:hanging="720"/>
      </w:pPr>
      <w:rPr>
        <w:rFonts w:ascii="Times New Roman" w:hAnsi="Times New Roman" w:eastAsia="宋体" w:cs="Times New Roman"/>
      </w:rPr>
    </w:lvl>
    <w:lvl w:ilvl="3" w:tentative="0">
      <w:start w:val="1"/>
      <w:numFmt w:val="decimal"/>
      <w:lvlText w:val="%4."/>
      <w:lvlJc w:val="left"/>
      <w:pPr>
        <w:tabs>
          <w:tab w:val="left" w:pos="1827"/>
        </w:tabs>
        <w:ind w:left="1827" w:hanging="420"/>
      </w:pPr>
    </w:lvl>
    <w:lvl w:ilvl="4" w:tentative="0">
      <w:start w:val="1"/>
      <w:numFmt w:val="lowerLetter"/>
      <w:lvlText w:val="%5)"/>
      <w:lvlJc w:val="left"/>
      <w:pPr>
        <w:tabs>
          <w:tab w:val="left" w:pos="2247"/>
        </w:tabs>
        <w:ind w:left="2247" w:hanging="420"/>
      </w:pPr>
    </w:lvl>
    <w:lvl w:ilvl="5" w:tentative="0">
      <w:start w:val="1"/>
      <w:numFmt w:val="lowerRoman"/>
      <w:lvlText w:val="%6."/>
      <w:lvlJc w:val="right"/>
      <w:pPr>
        <w:tabs>
          <w:tab w:val="left" w:pos="2667"/>
        </w:tabs>
        <w:ind w:left="2667" w:hanging="420"/>
      </w:pPr>
    </w:lvl>
    <w:lvl w:ilvl="6" w:tentative="0">
      <w:start w:val="1"/>
      <w:numFmt w:val="decimal"/>
      <w:lvlText w:val="%7."/>
      <w:lvlJc w:val="left"/>
      <w:pPr>
        <w:tabs>
          <w:tab w:val="left" w:pos="3087"/>
        </w:tabs>
        <w:ind w:left="3087" w:hanging="420"/>
      </w:pPr>
    </w:lvl>
    <w:lvl w:ilvl="7" w:tentative="0">
      <w:start w:val="1"/>
      <w:numFmt w:val="lowerLetter"/>
      <w:lvlText w:val="%8)"/>
      <w:lvlJc w:val="left"/>
      <w:pPr>
        <w:tabs>
          <w:tab w:val="left" w:pos="3507"/>
        </w:tabs>
        <w:ind w:left="3507" w:hanging="420"/>
      </w:pPr>
    </w:lvl>
    <w:lvl w:ilvl="8" w:tentative="0">
      <w:start w:val="1"/>
      <w:numFmt w:val="lowerRoman"/>
      <w:lvlText w:val="%9."/>
      <w:lvlJc w:val="right"/>
      <w:pPr>
        <w:tabs>
          <w:tab w:val="left" w:pos="3927"/>
        </w:tabs>
        <w:ind w:left="3927" w:hanging="420"/>
      </w:pPr>
    </w:lvl>
  </w:abstractNum>
  <w:abstractNum w:abstractNumId="1">
    <w:nsid w:val="0A947874"/>
    <w:multiLevelType w:val="multilevel"/>
    <w:tmpl w:val="0A947874"/>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3C11272C"/>
    <w:multiLevelType w:val="multilevel"/>
    <w:tmpl w:val="3C11272C"/>
    <w:lvl w:ilvl="0" w:tentative="0">
      <w:start w:val="1"/>
      <w:numFmt w:val="chineseCountingThousand"/>
      <w:lvlText w:val="（%1）"/>
      <w:lvlJc w:val="left"/>
      <w:pPr>
        <w:tabs>
          <w:tab w:val="left" w:pos="1287"/>
        </w:tabs>
        <w:ind w:left="882" w:hanging="315"/>
      </w:pPr>
      <w:rPr>
        <w:rFonts w:hint="eastAsia"/>
        <w:sz w:val="24"/>
      </w:rPr>
    </w:lvl>
    <w:lvl w:ilvl="1" w:tentative="0">
      <w:start w:val="1"/>
      <w:numFmt w:val="lowerLetter"/>
      <w:lvlText w:val="%2)"/>
      <w:lvlJc w:val="left"/>
      <w:pPr>
        <w:tabs>
          <w:tab w:val="left" w:pos="987"/>
        </w:tabs>
        <w:ind w:left="987" w:hanging="420"/>
      </w:pPr>
    </w:lvl>
    <w:lvl w:ilvl="2" w:tentative="0">
      <w:start w:val="1"/>
      <w:numFmt w:val="lowerRoman"/>
      <w:lvlText w:val="%3."/>
      <w:lvlJc w:val="right"/>
      <w:pPr>
        <w:tabs>
          <w:tab w:val="left" w:pos="1407"/>
        </w:tabs>
        <w:ind w:left="1407" w:hanging="420"/>
      </w:pPr>
    </w:lvl>
    <w:lvl w:ilvl="3" w:tentative="0">
      <w:start w:val="1"/>
      <w:numFmt w:val="decimal"/>
      <w:lvlText w:val="%4."/>
      <w:lvlJc w:val="left"/>
      <w:pPr>
        <w:tabs>
          <w:tab w:val="left" w:pos="1827"/>
        </w:tabs>
        <w:ind w:left="1827" w:hanging="420"/>
      </w:pPr>
    </w:lvl>
    <w:lvl w:ilvl="4" w:tentative="0">
      <w:start w:val="1"/>
      <w:numFmt w:val="lowerLetter"/>
      <w:lvlText w:val="%5)"/>
      <w:lvlJc w:val="left"/>
      <w:pPr>
        <w:tabs>
          <w:tab w:val="left" w:pos="2247"/>
        </w:tabs>
        <w:ind w:left="2247" w:hanging="420"/>
      </w:pPr>
    </w:lvl>
    <w:lvl w:ilvl="5" w:tentative="0">
      <w:start w:val="1"/>
      <w:numFmt w:val="lowerRoman"/>
      <w:lvlText w:val="%6."/>
      <w:lvlJc w:val="right"/>
      <w:pPr>
        <w:tabs>
          <w:tab w:val="left" w:pos="2667"/>
        </w:tabs>
        <w:ind w:left="2667" w:hanging="420"/>
      </w:pPr>
    </w:lvl>
    <w:lvl w:ilvl="6" w:tentative="0">
      <w:start w:val="1"/>
      <w:numFmt w:val="decimal"/>
      <w:lvlText w:val="%7."/>
      <w:lvlJc w:val="left"/>
      <w:pPr>
        <w:tabs>
          <w:tab w:val="left" w:pos="3087"/>
        </w:tabs>
        <w:ind w:left="3087" w:hanging="420"/>
      </w:pPr>
    </w:lvl>
    <w:lvl w:ilvl="7" w:tentative="0">
      <w:start w:val="1"/>
      <w:numFmt w:val="lowerLetter"/>
      <w:lvlText w:val="%8)"/>
      <w:lvlJc w:val="left"/>
      <w:pPr>
        <w:tabs>
          <w:tab w:val="left" w:pos="3507"/>
        </w:tabs>
        <w:ind w:left="3507" w:hanging="420"/>
      </w:pPr>
    </w:lvl>
    <w:lvl w:ilvl="8" w:tentative="0">
      <w:start w:val="1"/>
      <w:numFmt w:val="lowerRoman"/>
      <w:lvlText w:val="%9."/>
      <w:lvlJc w:val="right"/>
      <w:pPr>
        <w:tabs>
          <w:tab w:val="left" w:pos="3927"/>
        </w:tabs>
        <w:ind w:left="3927" w:hanging="420"/>
      </w:pPr>
    </w:lvl>
  </w:abstractNum>
  <w:abstractNum w:abstractNumId="3">
    <w:nsid w:val="3FA67CBC"/>
    <w:multiLevelType w:val="multilevel"/>
    <w:tmpl w:val="3FA67CBC"/>
    <w:lvl w:ilvl="0" w:tentative="0">
      <w:start w:val="1"/>
      <w:numFmt w:val="chineseCountingThousand"/>
      <w:lvlText w:val="（%1）"/>
      <w:lvlJc w:val="left"/>
      <w:pPr>
        <w:tabs>
          <w:tab w:val="left" w:pos="1287"/>
        </w:tabs>
        <w:ind w:left="882" w:hanging="315"/>
      </w:pPr>
      <w:rPr>
        <w:rFonts w:hint="eastAsia"/>
        <w:sz w:val="24"/>
      </w:rPr>
    </w:lvl>
    <w:lvl w:ilvl="1" w:tentative="0">
      <w:start w:val="1"/>
      <w:numFmt w:val="decimal"/>
      <w:lvlText w:val="%2、"/>
      <w:lvlJc w:val="left"/>
      <w:pPr>
        <w:tabs>
          <w:tab w:val="left" w:pos="927"/>
        </w:tabs>
        <w:ind w:left="927" w:hanging="360"/>
      </w:pPr>
      <w:rPr>
        <w:rFonts w:hint="eastAsia"/>
      </w:rPr>
    </w:lvl>
    <w:lvl w:ilvl="2" w:tentative="0">
      <w:start w:val="1"/>
      <w:numFmt w:val="lowerRoman"/>
      <w:lvlText w:val="%3."/>
      <w:lvlJc w:val="right"/>
      <w:pPr>
        <w:tabs>
          <w:tab w:val="left" w:pos="1407"/>
        </w:tabs>
        <w:ind w:left="1407" w:hanging="420"/>
      </w:pPr>
    </w:lvl>
    <w:lvl w:ilvl="3" w:tentative="0">
      <w:start w:val="1"/>
      <w:numFmt w:val="decimal"/>
      <w:lvlText w:val="%4."/>
      <w:lvlJc w:val="left"/>
      <w:pPr>
        <w:tabs>
          <w:tab w:val="left" w:pos="1827"/>
        </w:tabs>
        <w:ind w:left="1827" w:hanging="420"/>
      </w:pPr>
    </w:lvl>
    <w:lvl w:ilvl="4" w:tentative="0">
      <w:start w:val="1"/>
      <w:numFmt w:val="lowerLetter"/>
      <w:lvlText w:val="%5)"/>
      <w:lvlJc w:val="left"/>
      <w:pPr>
        <w:tabs>
          <w:tab w:val="left" w:pos="2247"/>
        </w:tabs>
        <w:ind w:left="2247" w:hanging="420"/>
      </w:pPr>
    </w:lvl>
    <w:lvl w:ilvl="5" w:tentative="0">
      <w:start w:val="1"/>
      <w:numFmt w:val="lowerRoman"/>
      <w:lvlText w:val="%6."/>
      <w:lvlJc w:val="right"/>
      <w:pPr>
        <w:tabs>
          <w:tab w:val="left" w:pos="2667"/>
        </w:tabs>
        <w:ind w:left="2667" w:hanging="420"/>
      </w:pPr>
    </w:lvl>
    <w:lvl w:ilvl="6" w:tentative="0">
      <w:start w:val="1"/>
      <w:numFmt w:val="decimal"/>
      <w:lvlText w:val="%7."/>
      <w:lvlJc w:val="left"/>
      <w:pPr>
        <w:tabs>
          <w:tab w:val="left" w:pos="3087"/>
        </w:tabs>
        <w:ind w:left="3087" w:hanging="420"/>
      </w:pPr>
    </w:lvl>
    <w:lvl w:ilvl="7" w:tentative="0">
      <w:start w:val="1"/>
      <w:numFmt w:val="lowerLetter"/>
      <w:lvlText w:val="%8)"/>
      <w:lvlJc w:val="left"/>
      <w:pPr>
        <w:tabs>
          <w:tab w:val="left" w:pos="3507"/>
        </w:tabs>
        <w:ind w:left="3507" w:hanging="420"/>
      </w:pPr>
    </w:lvl>
    <w:lvl w:ilvl="8" w:tentative="0">
      <w:start w:val="1"/>
      <w:numFmt w:val="lowerRoman"/>
      <w:lvlText w:val="%9."/>
      <w:lvlJc w:val="right"/>
      <w:pPr>
        <w:tabs>
          <w:tab w:val="left" w:pos="3927"/>
        </w:tabs>
        <w:ind w:left="3927" w:hanging="420"/>
      </w:pPr>
    </w:lvl>
  </w:abstractNum>
  <w:abstractNum w:abstractNumId="4">
    <w:nsid w:val="48E71806"/>
    <w:multiLevelType w:val="multilevel"/>
    <w:tmpl w:val="48E71806"/>
    <w:lvl w:ilvl="0" w:tentative="0">
      <w:start w:val="1"/>
      <w:numFmt w:val="chineseCountingThousand"/>
      <w:lvlText w:val="第%1条"/>
      <w:lvlJc w:val="left"/>
      <w:pPr>
        <w:tabs>
          <w:tab w:val="left" w:pos="1320"/>
        </w:tabs>
        <w:ind w:left="1320" w:hanging="840"/>
      </w:pPr>
      <w:rPr>
        <w:rFonts w:hint="eastAsia"/>
        <w:b/>
        <w:i w:val="0"/>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0D7"/>
    <w:rsid w:val="00000A67"/>
    <w:rsid w:val="0000530B"/>
    <w:rsid w:val="00011966"/>
    <w:rsid w:val="00020174"/>
    <w:rsid w:val="00020621"/>
    <w:rsid w:val="000226FC"/>
    <w:rsid w:val="000238BE"/>
    <w:rsid w:val="0002629B"/>
    <w:rsid w:val="00037EFB"/>
    <w:rsid w:val="000562B5"/>
    <w:rsid w:val="0006550A"/>
    <w:rsid w:val="00071B48"/>
    <w:rsid w:val="000846B3"/>
    <w:rsid w:val="00084EA7"/>
    <w:rsid w:val="000867B6"/>
    <w:rsid w:val="000907B5"/>
    <w:rsid w:val="00093E3E"/>
    <w:rsid w:val="00096ABE"/>
    <w:rsid w:val="000A4E93"/>
    <w:rsid w:val="000B0120"/>
    <w:rsid w:val="000C2E3B"/>
    <w:rsid w:val="000C3741"/>
    <w:rsid w:val="000C67D2"/>
    <w:rsid w:val="000D422B"/>
    <w:rsid w:val="000E3E29"/>
    <w:rsid w:val="000E46FE"/>
    <w:rsid w:val="000E5373"/>
    <w:rsid w:val="000F5FDC"/>
    <w:rsid w:val="000F65E7"/>
    <w:rsid w:val="001065EC"/>
    <w:rsid w:val="0014104C"/>
    <w:rsid w:val="00141C2B"/>
    <w:rsid w:val="001427C0"/>
    <w:rsid w:val="001437BD"/>
    <w:rsid w:val="001456D7"/>
    <w:rsid w:val="0014641E"/>
    <w:rsid w:val="00146ACF"/>
    <w:rsid w:val="001508C9"/>
    <w:rsid w:val="00153835"/>
    <w:rsid w:val="00163C8F"/>
    <w:rsid w:val="001672CA"/>
    <w:rsid w:val="001725D1"/>
    <w:rsid w:val="00184E42"/>
    <w:rsid w:val="00192F53"/>
    <w:rsid w:val="001955DE"/>
    <w:rsid w:val="001A548B"/>
    <w:rsid w:val="001A67FE"/>
    <w:rsid w:val="001A7D58"/>
    <w:rsid w:val="001B72F8"/>
    <w:rsid w:val="001B7E86"/>
    <w:rsid w:val="001C49B7"/>
    <w:rsid w:val="001C5AA3"/>
    <w:rsid w:val="001D7D7C"/>
    <w:rsid w:val="001E0C34"/>
    <w:rsid w:val="001E0E37"/>
    <w:rsid w:val="001E1CA2"/>
    <w:rsid w:val="001F284E"/>
    <w:rsid w:val="001F36B0"/>
    <w:rsid w:val="001F445B"/>
    <w:rsid w:val="001F5338"/>
    <w:rsid w:val="002236DA"/>
    <w:rsid w:val="00224910"/>
    <w:rsid w:val="0022702C"/>
    <w:rsid w:val="00237549"/>
    <w:rsid w:val="00245D65"/>
    <w:rsid w:val="002500D7"/>
    <w:rsid w:val="00251DE5"/>
    <w:rsid w:val="0027527B"/>
    <w:rsid w:val="002814CB"/>
    <w:rsid w:val="00291147"/>
    <w:rsid w:val="002935AD"/>
    <w:rsid w:val="00297272"/>
    <w:rsid w:val="002A6132"/>
    <w:rsid w:val="002B1C5C"/>
    <w:rsid w:val="002D5333"/>
    <w:rsid w:val="002F217A"/>
    <w:rsid w:val="002F4BBF"/>
    <w:rsid w:val="0030322A"/>
    <w:rsid w:val="0033083B"/>
    <w:rsid w:val="00330AD1"/>
    <w:rsid w:val="003355C7"/>
    <w:rsid w:val="0033670F"/>
    <w:rsid w:val="00337E3B"/>
    <w:rsid w:val="00342693"/>
    <w:rsid w:val="00352C33"/>
    <w:rsid w:val="00353294"/>
    <w:rsid w:val="00367732"/>
    <w:rsid w:val="00385BD7"/>
    <w:rsid w:val="00386874"/>
    <w:rsid w:val="00386C54"/>
    <w:rsid w:val="0039320A"/>
    <w:rsid w:val="00394903"/>
    <w:rsid w:val="003A3688"/>
    <w:rsid w:val="003A61EB"/>
    <w:rsid w:val="003B63EA"/>
    <w:rsid w:val="003B7A92"/>
    <w:rsid w:val="003C0A6C"/>
    <w:rsid w:val="003C0AAD"/>
    <w:rsid w:val="003D0251"/>
    <w:rsid w:val="003D111C"/>
    <w:rsid w:val="003D12D8"/>
    <w:rsid w:val="003D1DAE"/>
    <w:rsid w:val="003D3669"/>
    <w:rsid w:val="003E00F5"/>
    <w:rsid w:val="003E0E1C"/>
    <w:rsid w:val="003E6118"/>
    <w:rsid w:val="003E6A46"/>
    <w:rsid w:val="003F1A9C"/>
    <w:rsid w:val="003F1B90"/>
    <w:rsid w:val="003F4107"/>
    <w:rsid w:val="003F5191"/>
    <w:rsid w:val="00400385"/>
    <w:rsid w:val="00407DED"/>
    <w:rsid w:val="00410A75"/>
    <w:rsid w:val="00415E19"/>
    <w:rsid w:val="00421310"/>
    <w:rsid w:val="00425121"/>
    <w:rsid w:val="00442A92"/>
    <w:rsid w:val="0044582A"/>
    <w:rsid w:val="00450E5A"/>
    <w:rsid w:val="00451E14"/>
    <w:rsid w:val="004523C2"/>
    <w:rsid w:val="00455AD9"/>
    <w:rsid w:val="004643C9"/>
    <w:rsid w:val="0046454E"/>
    <w:rsid w:val="0047738D"/>
    <w:rsid w:val="00481506"/>
    <w:rsid w:val="004843A7"/>
    <w:rsid w:val="004864EF"/>
    <w:rsid w:val="00497F68"/>
    <w:rsid w:val="004A29C0"/>
    <w:rsid w:val="004A5B2E"/>
    <w:rsid w:val="004B0C0D"/>
    <w:rsid w:val="004B3834"/>
    <w:rsid w:val="004C274C"/>
    <w:rsid w:val="004D2A8A"/>
    <w:rsid w:val="004D3DA2"/>
    <w:rsid w:val="004D535E"/>
    <w:rsid w:val="004E00B3"/>
    <w:rsid w:val="004E418B"/>
    <w:rsid w:val="004E751E"/>
    <w:rsid w:val="004F0A65"/>
    <w:rsid w:val="004F67E9"/>
    <w:rsid w:val="00502728"/>
    <w:rsid w:val="005032C2"/>
    <w:rsid w:val="00505705"/>
    <w:rsid w:val="00507149"/>
    <w:rsid w:val="00507EBA"/>
    <w:rsid w:val="00511272"/>
    <w:rsid w:val="0051142F"/>
    <w:rsid w:val="005127D6"/>
    <w:rsid w:val="005150FC"/>
    <w:rsid w:val="0052043E"/>
    <w:rsid w:val="005307EF"/>
    <w:rsid w:val="005558E0"/>
    <w:rsid w:val="0057447D"/>
    <w:rsid w:val="00591A15"/>
    <w:rsid w:val="0059429E"/>
    <w:rsid w:val="0059447A"/>
    <w:rsid w:val="00596EFF"/>
    <w:rsid w:val="0059732E"/>
    <w:rsid w:val="005A5B3E"/>
    <w:rsid w:val="005A5D9A"/>
    <w:rsid w:val="005A71F7"/>
    <w:rsid w:val="005B7CEF"/>
    <w:rsid w:val="005C06CA"/>
    <w:rsid w:val="005C254C"/>
    <w:rsid w:val="005C4886"/>
    <w:rsid w:val="005C7077"/>
    <w:rsid w:val="005D2222"/>
    <w:rsid w:val="005D25DE"/>
    <w:rsid w:val="005D4835"/>
    <w:rsid w:val="005D6D6E"/>
    <w:rsid w:val="005E3B9D"/>
    <w:rsid w:val="005E4B89"/>
    <w:rsid w:val="005F518E"/>
    <w:rsid w:val="0060711A"/>
    <w:rsid w:val="00616D26"/>
    <w:rsid w:val="0062320D"/>
    <w:rsid w:val="006357A2"/>
    <w:rsid w:val="00643E7D"/>
    <w:rsid w:val="006441CB"/>
    <w:rsid w:val="00644F9F"/>
    <w:rsid w:val="006461B3"/>
    <w:rsid w:val="00654380"/>
    <w:rsid w:val="0065736B"/>
    <w:rsid w:val="006600EF"/>
    <w:rsid w:val="00664E6D"/>
    <w:rsid w:val="0067609C"/>
    <w:rsid w:val="006769F2"/>
    <w:rsid w:val="00682EAE"/>
    <w:rsid w:val="00684826"/>
    <w:rsid w:val="00693BB2"/>
    <w:rsid w:val="006941F4"/>
    <w:rsid w:val="00697F7F"/>
    <w:rsid w:val="006B0FAE"/>
    <w:rsid w:val="006B4282"/>
    <w:rsid w:val="006C3B81"/>
    <w:rsid w:val="006D089B"/>
    <w:rsid w:val="006D4791"/>
    <w:rsid w:val="006E6ECE"/>
    <w:rsid w:val="007155CC"/>
    <w:rsid w:val="00744A4F"/>
    <w:rsid w:val="00746691"/>
    <w:rsid w:val="00746A3A"/>
    <w:rsid w:val="00752E3A"/>
    <w:rsid w:val="00764E72"/>
    <w:rsid w:val="00772104"/>
    <w:rsid w:val="00780FA4"/>
    <w:rsid w:val="00782370"/>
    <w:rsid w:val="00784CA3"/>
    <w:rsid w:val="00794696"/>
    <w:rsid w:val="00797E05"/>
    <w:rsid w:val="007A52E0"/>
    <w:rsid w:val="007A7764"/>
    <w:rsid w:val="007B7B1F"/>
    <w:rsid w:val="007C1D8F"/>
    <w:rsid w:val="007C265B"/>
    <w:rsid w:val="007D6103"/>
    <w:rsid w:val="007F030E"/>
    <w:rsid w:val="007F2754"/>
    <w:rsid w:val="007F3DE9"/>
    <w:rsid w:val="007F7895"/>
    <w:rsid w:val="0081262A"/>
    <w:rsid w:val="00823F45"/>
    <w:rsid w:val="00830A74"/>
    <w:rsid w:val="008653EC"/>
    <w:rsid w:val="008771A3"/>
    <w:rsid w:val="00880B7E"/>
    <w:rsid w:val="00891F6E"/>
    <w:rsid w:val="00893A48"/>
    <w:rsid w:val="008A1CAE"/>
    <w:rsid w:val="008A27FD"/>
    <w:rsid w:val="008A38DC"/>
    <w:rsid w:val="008B1D41"/>
    <w:rsid w:val="008C075A"/>
    <w:rsid w:val="008C47BC"/>
    <w:rsid w:val="008D5252"/>
    <w:rsid w:val="008E6AC6"/>
    <w:rsid w:val="008F0495"/>
    <w:rsid w:val="008F09D0"/>
    <w:rsid w:val="00900F99"/>
    <w:rsid w:val="00901BB6"/>
    <w:rsid w:val="00907B7F"/>
    <w:rsid w:val="00921DE8"/>
    <w:rsid w:val="0092314B"/>
    <w:rsid w:val="00926123"/>
    <w:rsid w:val="0093156C"/>
    <w:rsid w:val="009327F6"/>
    <w:rsid w:val="009374D0"/>
    <w:rsid w:val="00942374"/>
    <w:rsid w:val="00943E03"/>
    <w:rsid w:val="00952A6C"/>
    <w:rsid w:val="0095309F"/>
    <w:rsid w:val="00954AF2"/>
    <w:rsid w:val="00964118"/>
    <w:rsid w:val="00966C69"/>
    <w:rsid w:val="0097599C"/>
    <w:rsid w:val="0098453D"/>
    <w:rsid w:val="0099799E"/>
    <w:rsid w:val="009A7FC5"/>
    <w:rsid w:val="009B7FB2"/>
    <w:rsid w:val="009C4E99"/>
    <w:rsid w:val="009D3347"/>
    <w:rsid w:val="009D7E52"/>
    <w:rsid w:val="009E70EA"/>
    <w:rsid w:val="009F4919"/>
    <w:rsid w:val="009F789C"/>
    <w:rsid w:val="00A028A7"/>
    <w:rsid w:val="00A07EDD"/>
    <w:rsid w:val="00A149C5"/>
    <w:rsid w:val="00A23C48"/>
    <w:rsid w:val="00A27AB1"/>
    <w:rsid w:val="00A331FC"/>
    <w:rsid w:val="00A3323C"/>
    <w:rsid w:val="00A33A8E"/>
    <w:rsid w:val="00A33B13"/>
    <w:rsid w:val="00A40596"/>
    <w:rsid w:val="00A53B6D"/>
    <w:rsid w:val="00A56B01"/>
    <w:rsid w:val="00A633A4"/>
    <w:rsid w:val="00A711ED"/>
    <w:rsid w:val="00A73FBE"/>
    <w:rsid w:val="00A8094C"/>
    <w:rsid w:val="00A81F3E"/>
    <w:rsid w:val="00A9672B"/>
    <w:rsid w:val="00AA736E"/>
    <w:rsid w:val="00AB781C"/>
    <w:rsid w:val="00AC35ED"/>
    <w:rsid w:val="00AD7223"/>
    <w:rsid w:val="00AE1841"/>
    <w:rsid w:val="00AF15E1"/>
    <w:rsid w:val="00AF30B6"/>
    <w:rsid w:val="00AF3366"/>
    <w:rsid w:val="00B0251D"/>
    <w:rsid w:val="00B035B3"/>
    <w:rsid w:val="00B23582"/>
    <w:rsid w:val="00B246C9"/>
    <w:rsid w:val="00B332FF"/>
    <w:rsid w:val="00B3431B"/>
    <w:rsid w:val="00B3547B"/>
    <w:rsid w:val="00B354D9"/>
    <w:rsid w:val="00B40560"/>
    <w:rsid w:val="00B53E0E"/>
    <w:rsid w:val="00B60DAB"/>
    <w:rsid w:val="00B60F5C"/>
    <w:rsid w:val="00B66974"/>
    <w:rsid w:val="00B70EB7"/>
    <w:rsid w:val="00B72324"/>
    <w:rsid w:val="00B734C0"/>
    <w:rsid w:val="00B9123C"/>
    <w:rsid w:val="00B92F97"/>
    <w:rsid w:val="00BA06E2"/>
    <w:rsid w:val="00BA1FB6"/>
    <w:rsid w:val="00BA4423"/>
    <w:rsid w:val="00BA6292"/>
    <w:rsid w:val="00BA7C3E"/>
    <w:rsid w:val="00BB0AEE"/>
    <w:rsid w:val="00BC0168"/>
    <w:rsid w:val="00BC1433"/>
    <w:rsid w:val="00BC3E3D"/>
    <w:rsid w:val="00BC4437"/>
    <w:rsid w:val="00BC522B"/>
    <w:rsid w:val="00BD1050"/>
    <w:rsid w:val="00BD41A0"/>
    <w:rsid w:val="00BE126B"/>
    <w:rsid w:val="00BE1803"/>
    <w:rsid w:val="00BF27B5"/>
    <w:rsid w:val="00BF7C7F"/>
    <w:rsid w:val="00C17F38"/>
    <w:rsid w:val="00C208E4"/>
    <w:rsid w:val="00C22AB2"/>
    <w:rsid w:val="00C2626E"/>
    <w:rsid w:val="00C2716B"/>
    <w:rsid w:val="00C31DBC"/>
    <w:rsid w:val="00C43FED"/>
    <w:rsid w:val="00C45FFD"/>
    <w:rsid w:val="00C61355"/>
    <w:rsid w:val="00C61A51"/>
    <w:rsid w:val="00C62720"/>
    <w:rsid w:val="00C706A4"/>
    <w:rsid w:val="00C70B10"/>
    <w:rsid w:val="00C819E1"/>
    <w:rsid w:val="00C83949"/>
    <w:rsid w:val="00C87E94"/>
    <w:rsid w:val="00C94018"/>
    <w:rsid w:val="00CA2274"/>
    <w:rsid w:val="00CB4871"/>
    <w:rsid w:val="00CC5E1A"/>
    <w:rsid w:val="00CD5B15"/>
    <w:rsid w:val="00CE642A"/>
    <w:rsid w:val="00CE70EA"/>
    <w:rsid w:val="00CF5DAD"/>
    <w:rsid w:val="00D0501B"/>
    <w:rsid w:val="00D17431"/>
    <w:rsid w:val="00D3756F"/>
    <w:rsid w:val="00D4337D"/>
    <w:rsid w:val="00D444B2"/>
    <w:rsid w:val="00D44FDD"/>
    <w:rsid w:val="00D545F9"/>
    <w:rsid w:val="00D6583C"/>
    <w:rsid w:val="00D70B3A"/>
    <w:rsid w:val="00D74751"/>
    <w:rsid w:val="00D816E9"/>
    <w:rsid w:val="00D85E24"/>
    <w:rsid w:val="00D85FA1"/>
    <w:rsid w:val="00D95A7F"/>
    <w:rsid w:val="00DA57F4"/>
    <w:rsid w:val="00DA7582"/>
    <w:rsid w:val="00DB07BE"/>
    <w:rsid w:val="00DC2940"/>
    <w:rsid w:val="00DC5845"/>
    <w:rsid w:val="00DC7E4B"/>
    <w:rsid w:val="00DE4F85"/>
    <w:rsid w:val="00DF5F53"/>
    <w:rsid w:val="00E00A3F"/>
    <w:rsid w:val="00E0134D"/>
    <w:rsid w:val="00E222AA"/>
    <w:rsid w:val="00E228EC"/>
    <w:rsid w:val="00E3192F"/>
    <w:rsid w:val="00E476CD"/>
    <w:rsid w:val="00E54CF3"/>
    <w:rsid w:val="00E577DB"/>
    <w:rsid w:val="00E6110A"/>
    <w:rsid w:val="00E64F85"/>
    <w:rsid w:val="00E6564E"/>
    <w:rsid w:val="00E67730"/>
    <w:rsid w:val="00E73CA3"/>
    <w:rsid w:val="00E746AE"/>
    <w:rsid w:val="00E76002"/>
    <w:rsid w:val="00E76DE6"/>
    <w:rsid w:val="00E827CB"/>
    <w:rsid w:val="00E913EA"/>
    <w:rsid w:val="00E97AD8"/>
    <w:rsid w:val="00EA3E0C"/>
    <w:rsid w:val="00EB001B"/>
    <w:rsid w:val="00EC1571"/>
    <w:rsid w:val="00ED1E59"/>
    <w:rsid w:val="00ED2989"/>
    <w:rsid w:val="00ED758D"/>
    <w:rsid w:val="00ED78B5"/>
    <w:rsid w:val="00EE4C05"/>
    <w:rsid w:val="00EE5D36"/>
    <w:rsid w:val="00EF17B6"/>
    <w:rsid w:val="00F01D5D"/>
    <w:rsid w:val="00F021E9"/>
    <w:rsid w:val="00F03DFC"/>
    <w:rsid w:val="00F04395"/>
    <w:rsid w:val="00F069CF"/>
    <w:rsid w:val="00F138C3"/>
    <w:rsid w:val="00F24496"/>
    <w:rsid w:val="00F25AFF"/>
    <w:rsid w:val="00F64240"/>
    <w:rsid w:val="00F64723"/>
    <w:rsid w:val="00F65574"/>
    <w:rsid w:val="00F66BD1"/>
    <w:rsid w:val="00F71AA8"/>
    <w:rsid w:val="00F80B78"/>
    <w:rsid w:val="00F84068"/>
    <w:rsid w:val="00F86544"/>
    <w:rsid w:val="00F87ED0"/>
    <w:rsid w:val="00F90B49"/>
    <w:rsid w:val="00F92FDD"/>
    <w:rsid w:val="00F93B76"/>
    <w:rsid w:val="00F953AC"/>
    <w:rsid w:val="00FA7F73"/>
    <w:rsid w:val="00FB01EB"/>
    <w:rsid w:val="00FB611C"/>
    <w:rsid w:val="00FD012C"/>
    <w:rsid w:val="00FD7299"/>
    <w:rsid w:val="00FD7E4B"/>
    <w:rsid w:val="00FE0AD5"/>
    <w:rsid w:val="00FF5AAF"/>
    <w:rsid w:val="7FC3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39" w:semiHidden="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4"/>
    <w:qFormat/>
    <w:uiPriority w:val="0"/>
    <w:pPr>
      <w:keepNext/>
      <w:jc w:val="center"/>
      <w:outlineLvl w:val="2"/>
    </w:pPr>
    <w:rPr>
      <w:rFonts w:ascii="仿宋_GB2312"/>
      <w:sz w:val="28"/>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5">
    <w:name w:val="toc 7"/>
    <w:basedOn w:val="1"/>
    <w:next w:val="1"/>
    <w:semiHidden/>
    <w:qFormat/>
    <w:uiPriority w:val="0"/>
    <w:pPr>
      <w:ind w:left="1260"/>
      <w:jc w:val="left"/>
    </w:pPr>
    <w:rPr>
      <w:szCs w:val="21"/>
    </w:rPr>
  </w:style>
  <w:style w:type="paragraph" w:styleId="6">
    <w:name w:val="Body Text 3"/>
    <w:basedOn w:val="1"/>
    <w:uiPriority w:val="0"/>
    <w:pPr>
      <w:spacing w:after="120"/>
    </w:pPr>
    <w:rPr>
      <w:sz w:val="16"/>
      <w:szCs w:val="16"/>
    </w:rPr>
  </w:style>
  <w:style w:type="paragraph" w:styleId="7">
    <w:name w:val="Body Text"/>
    <w:basedOn w:val="1"/>
    <w:uiPriority w:val="0"/>
    <w:rPr>
      <w:sz w:val="24"/>
    </w:rPr>
  </w:style>
  <w:style w:type="paragraph" w:styleId="8">
    <w:name w:val="Body Text Indent"/>
    <w:basedOn w:val="1"/>
    <w:uiPriority w:val="0"/>
    <w:pPr>
      <w:tabs>
        <w:tab w:val="left" w:pos="1918"/>
      </w:tabs>
      <w:spacing w:line="360" w:lineRule="auto"/>
      <w:ind w:firstLine="480" w:firstLineChars="200"/>
    </w:pPr>
    <w:rPr>
      <w:rFonts w:ascii="宋体" w:hAnsi="宋体"/>
      <w:kern w:val="0"/>
      <w:sz w:val="24"/>
    </w:rPr>
  </w:style>
  <w:style w:type="paragraph" w:styleId="9">
    <w:name w:val="List 2"/>
    <w:basedOn w:val="1"/>
    <w:uiPriority w:val="0"/>
    <w:pPr>
      <w:ind w:left="100" w:leftChars="200" w:hanging="200" w:hangingChars="200"/>
    </w:pPr>
  </w:style>
  <w:style w:type="paragraph" w:styleId="10">
    <w:name w:val="toc 5"/>
    <w:basedOn w:val="1"/>
    <w:next w:val="1"/>
    <w:semiHidden/>
    <w:uiPriority w:val="0"/>
    <w:pPr>
      <w:ind w:left="840"/>
      <w:jc w:val="left"/>
    </w:pPr>
    <w:rPr>
      <w:szCs w:val="21"/>
    </w:rPr>
  </w:style>
  <w:style w:type="paragraph" w:styleId="11">
    <w:name w:val="toc 3"/>
    <w:basedOn w:val="1"/>
    <w:next w:val="1"/>
    <w:semiHidden/>
    <w:uiPriority w:val="0"/>
    <w:pPr>
      <w:ind w:left="420"/>
      <w:jc w:val="left"/>
    </w:pPr>
    <w:rPr>
      <w:i/>
      <w:iCs/>
    </w:rPr>
  </w:style>
  <w:style w:type="paragraph" w:styleId="12">
    <w:name w:val="toc 8"/>
    <w:basedOn w:val="1"/>
    <w:next w:val="1"/>
    <w:semiHidden/>
    <w:qFormat/>
    <w:uiPriority w:val="0"/>
    <w:pPr>
      <w:ind w:left="1470"/>
      <w:jc w:val="left"/>
    </w:pPr>
    <w:rPr>
      <w:szCs w:val="21"/>
    </w:rPr>
  </w:style>
  <w:style w:type="paragraph" w:styleId="13">
    <w:name w:val="Date"/>
    <w:basedOn w:val="1"/>
    <w:next w:val="1"/>
    <w:uiPriority w:val="0"/>
    <w:pPr>
      <w:ind w:left="100" w:leftChars="2500"/>
    </w:pPr>
    <w:rPr>
      <w:b/>
      <w:bCs/>
      <w:sz w:val="36"/>
    </w:rPr>
  </w:style>
  <w:style w:type="paragraph" w:styleId="14">
    <w:name w:val="Body Text Indent 2"/>
    <w:basedOn w:val="1"/>
    <w:uiPriority w:val="0"/>
    <w:pPr>
      <w:tabs>
        <w:tab w:val="left" w:pos="720"/>
      </w:tabs>
      <w:spacing w:line="360" w:lineRule="auto"/>
      <w:ind w:right="26" w:firstLine="480" w:firstLineChars="200"/>
    </w:pPr>
    <w:rPr>
      <w:sz w:val="24"/>
    </w:rPr>
  </w:style>
  <w:style w:type="paragraph" w:styleId="15">
    <w:name w:val="footer"/>
    <w:basedOn w:val="1"/>
    <w:uiPriority w:val="0"/>
    <w:pPr>
      <w:tabs>
        <w:tab w:val="center" w:pos="4153"/>
        <w:tab w:val="right" w:pos="8306"/>
      </w:tabs>
      <w:snapToGrid w:val="0"/>
      <w:jc w:val="left"/>
    </w:pPr>
    <w:rPr>
      <w:sz w:val="18"/>
      <w:szCs w:val="18"/>
    </w:rPr>
  </w:style>
  <w:style w:type="paragraph" w:styleId="1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iPriority w:val="0"/>
    <w:pPr>
      <w:spacing w:before="120" w:after="120"/>
      <w:jc w:val="left"/>
    </w:pPr>
    <w:rPr>
      <w:b/>
      <w:bCs/>
      <w:caps/>
    </w:rPr>
  </w:style>
  <w:style w:type="paragraph" w:styleId="18">
    <w:name w:val="toc 4"/>
    <w:basedOn w:val="1"/>
    <w:next w:val="1"/>
    <w:semiHidden/>
    <w:uiPriority w:val="0"/>
    <w:pPr>
      <w:ind w:left="630"/>
      <w:jc w:val="left"/>
    </w:pPr>
    <w:rPr>
      <w:szCs w:val="21"/>
    </w:rPr>
  </w:style>
  <w:style w:type="paragraph" w:styleId="19">
    <w:name w:val="footnote text"/>
    <w:basedOn w:val="1"/>
    <w:semiHidden/>
    <w:uiPriority w:val="0"/>
    <w:pPr>
      <w:snapToGrid w:val="0"/>
      <w:jc w:val="left"/>
    </w:pPr>
    <w:rPr>
      <w:sz w:val="18"/>
    </w:rPr>
  </w:style>
  <w:style w:type="paragraph" w:styleId="20">
    <w:name w:val="toc 6"/>
    <w:basedOn w:val="1"/>
    <w:next w:val="1"/>
    <w:semiHidden/>
    <w:uiPriority w:val="0"/>
    <w:pPr>
      <w:ind w:left="1050"/>
      <w:jc w:val="left"/>
    </w:pPr>
    <w:rPr>
      <w:szCs w:val="21"/>
    </w:rPr>
  </w:style>
  <w:style w:type="paragraph" w:styleId="21">
    <w:name w:val="toc 2"/>
    <w:basedOn w:val="1"/>
    <w:next w:val="1"/>
    <w:uiPriority w:val="39"/>
    <w:pPr>
      <w:ind w:left="210"/>
      <w:jc w:val="left"/>
    </w:pPr>
    <w:rPr>
      <w:smallCaps/>
    </w:rPr>
  </w:style>
  <w:style w:type="paragraph" w:styleId="22">
    <w:name w:val="toc 9"/>
    <w:basedOn w:val="1"/>
    <w:next w:val="1"/>
    <w:semiHidden/>
    <w:uiPriority w:val="0"/>
    <w:pPr>
      <w:ind w:left="1680"/>
      <w:jc w:val="left"/>
    </w:pPr>
    <w:rPr>
      <w:szCs w:val="21"/>
    </w:rPr>
  </w:style>
  <w:style w:type="paragraph" w:styleId="23">
    <w:name w:val="Body Text 2"/>
    <w:basedOn w:val="1"/>
    <w:uiPriority w:val="0"/>
    <w:pPr>
      <w:spacing w:after="120" w:line="480" w:lineRule="auto"/>
    </w:pPr>
  </w:style>
  <w:style w:type="paragraph" w:styleId="24">
    <w:name w:val="Normal (Web)"/>
    <w:basedOn w:val="1"/>
    <w:uiPriority w:val="0"/>
    <w:pPr>
      <w:widowControl/>
      <w:spacing w:before="100" w:beforeAutospacing="1" w:after="100" w:afterAutospacing="1"/>
      <w:jc w:val="left"/>
    </w:pPr>
    <w:rPr>
      <w:rFonts w:ascii="宋体" w:hAnsi="宋体"/>
      <w:kern w:val="0"/>
      <w:sz w:val="24"/>
    </w:r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page number"/>
    <w:basedOn w:val="27"/>
    <w:uiPriority w:val="0"/>
  </w:style>
  <w:style w:type="character" w:styleId="29">
    <w:name w:val="Hyperlink"/>
    <w:uiPriority w:val="99"/>
    <w:rPr>
      <w:color w:val="0000FF"/>
      <w:u w:val="single"/>
    </w:rPr>
  </w:style>
  <w:style w:type="character" w:styleId="30">
    <w:name w:val="footnote reference"/>
    <w:semiHidden/>
    <w:uiPriority w:val="0"/>
    <w:rPr>
      <w:vertAlign w:val="superscript"/>
    </w:rPr>
  </w:style>
  <w:style w:type="paragraph" w:customStyle="1" w:styleId="31">
    <w:name w:val="xl32"/>
    <w:basedOn w:val="1"/>
    <w:uiPriority w:val="0"/>
    <w:pPr>
      <w:widowControl/>
      <w:spacing w:before="100" w:beforeAutospacing="1" w:after="100" w:afterAutospacing="1"/>
      <w:textAlignment w:val="top"/>
    </w:pPr>
    <w:rPr>
      <w:rFonts w:eastAsia="Arial Unicode MS"/>
      <w:szCs w:val="21"/>
    </w:rPr>
  </w:style>
  <w:style w:type="paragraph" w:customStyle="1" w:styleId="32">
    <w:name w:val="xl43"/>
    <w:basedOn w:val="1"/>
    <w:uiPriority w:val="0"/>
    <w:pPr>
      <w:widowControl/>
      <w:spacing w:before="100" w:beforeAutospacing="1" w:after="100" w:afterAutospacing="1"/>
      <w:jc w:val="center"/>
      <w:textAlignment w:val="top"/>
    </w:pPr>
    <w:rPr>
      <w:rFonts w:eastAsia="Arial Unicode MS"/>
      <w:szCs w:val="21"/>
    </w:rPr>
  </w:style>
  <w:style w:type="paragraph" w:customStyle="1" w:styleId="33">
    <w:name w:val="xl44"/>
    <w:basedOn w:val="1"/>
    <w:uiPriority w:val="0"/>
    <w:pPr>
      <w:widowControl/>
      <w:spacing w:before="100" w:beforeAutospacing="1" w:after="100" w:afterAutospacing="1"/>
      <w:jc w:val="center"/>
      <w:textAlignment w:val="top"/>
    </w:pPr>
    <w:rPr>
      <w:rFonts w:ascii="Arial" w:hAnsi="Arial" w:eastAsia="Arial Unicode MS" w:cs="Arial"/>
      <w:b/>
      <w:bCs/>
      <w:szCs w:val="21"/>
    </w:rPr>
  </w:style>
  <w:style w:type="paragraph" w:customStyle="1" w:styleId="34">
    <w:name w:val="xl49"/>
    <w:basedOn w:val="1"/>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b/>
      <w:bCs/>
      <w:sz w:val="24"/>
    </w:rPr>
  </w:style>
  <w:style w:type="character" w:customStyle="1" w:styleId="35">
    <w:name w:val="已访问的超链接1"/>
    <w:uiPriority w:val="0"/>
    <w:rPr>
      <w:color w:val="80008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ww\&#26700;&#38754;\12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4AA52-E0E0-4486-AD79-702B28073288}">
  <ds:schemaRefs/>
</ds:datastoreItem>
</file>

<file path=docProps/app.xml><?xml version="1.0" encoding="utf-8"?>
<Properties xmlns="http://schemas.openxmlformats.org/officeDocument/2006/extended-properties" xmlns:vt="http://schemas.openxmlformats.org/officeDocument/2006/docPropsVTypes">
  <Template>1234.dot</Template>
  <Company>lzf</Company>
  <Pages>14</Pages>
  <Words>1135</Words>
  <Characters>6472</Characters>
  <Lines>53</Lines>
  <Paragraphs>15</Paragraphs>
  <TotalTime>2</TotalTime>
  <ScaleCrop>false</ScaleCrop>
  <LinksUpToDate>false</LinksUpToDate>
  <CharactersWithSpaces>7592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2013-04-23T00:32:00Z</dcterms:created>
  <dc:creator>www</dc:creator>
  <cp:lastModifiedBy>^O^珏</cp:lastModifiedBy>
  <cp:lastPrinted>2011-05-27T03:22:00Z</cp:lastPrinted>
  <dcterms:modified xsi:type="dcterms:W3CDTF">2020-02-25T08:52:20Z</dcterms:modified>
  <dc:title>Normal</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