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sz w:val="22"/>
          <w:szCs w:val="22"/>
          <w:u w:val="none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sz w:val="28"/>
          <w:szCs w:val="28"/>
          <w:u w:val="none"/>
          <w:lang w:val="en-US" w:eastAsia="zh-CN"/>
        </w:rPr>
        <w:t>各省工资政策盘点</w:t>
      </w:r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22"/>
          <w:szCs w:val="22"/>
          <w:u w:val="none"/>
        </w:rPr>
      </w:pPr>
    </w:p>
    <w:tbl>
      <w:tblPr>
        <w:tblW w:w="13393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488"/>
        <w:gridCol w:w="1488"/>
        <w:gridCol w:w="1488"/>
        <w:gridCol w:w="1488"/>
        <w:gridCol w:w="1488"/>
        <w:gridCol w:w="1488"/>
        <w:gridCol w:w="1488"/>
        <w:gridCol w:w="148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2月3日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2月4日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2月5日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2月6日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2月7日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2月8日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江苏省无锡市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江苏省苏州市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7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应当采取措施，弹性等灵活计算工作时间的方式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不得造成人员汇聚、集中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7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对企业与职工协商优先使用带薪年休假等各类假的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按相关休假的规定支付工资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7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对企业与职工协商优先使用带薪年休假等各类假的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按相关休假的规定支付工资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江苏省常州市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7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对企业与职工协商优先使用带薪年休假等各类假的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按相关休假的规定支付工资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江苏省南通市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7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对企业与职工协商优先使用带薪年休假等各类假的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按相关休假的规定支付工资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江苏省盐城市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正常工资加鼓励关怀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江苏省泰州市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在家休息</w:t>
            </w:r>
          </w:p>
        </w:tc>
        <w:tc>
          <w:tcPr>
            <w:tcW w:w="7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对企业与职工协商优先使用带薪年休假等各类假的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按相关休假的规定支付工资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正常休息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在家工作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补休或二倍加班工资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在单位工作按当地的法律法规及政策要求进行相应的备案和审批。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B3546"/>
    <w:rsid w:val="229B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2020-02-07T07:03:00Z</dcterms:created>
  <dc:creator>^O^珏</dc:creator>
  <cp:lastModifiedBy>^O^珏</cp:lastModifiedBy>
  <dcterms:modified xsi:type="dcterms:W3CDTF">2020-02-07T07:05:53Z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