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员工调薪管理办法</w:t>
      </w:r>
    </w:p>
    <w:sdt>
      <w:sdtPr>
        <w:rPr>
          <w:rFonts w:hint="eastAsia" w:ascii="宋体" w:hAnsi="宋体" w:eastAsia="宋体" w:cs="宋体"/>
          <w:lang w:val="zh-CN"/>
        </w:rPr>
        <w:id w:val="1563601123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18"/>
            <w:ind w:firstLine="480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zh-CN"/>
            </w:rPr>
            <w:t>目录</w:t>
          </w:r>
        </w:p>
        <w:p>
          <w:pPr>
            <w:pStyle w:val="9"/>
            <w:tabs>
              <w:tab w:val="right" w:leader="dot" w:pos="8296"/>
            </w:tabs>
            <w:ind w:firstLine="480"/>
            <w:rPr>
              <w:rFonts w:hint="eastAsia" w:ascii="宋体" w:hAnsi="宋体" w:eastAsia="宋体" w:cs="宋体"/>
              <w:sz w:val="21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"_Toc532919734"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3"/>
              <w:rFonts w:hint="eastAsia" w:ascii="宋体" w:hAnsi="宋体" w:eastAsia="宋体" w:cs="宋体"/>
            </w:rPr>
            <w:t>一、总则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_Toc532919734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ind w:firstLine="480"/>
            <w:rPr>
              <w:rFonts w:hint="eastAsia" w:ascii="宋体" w:hAnsi="宋体" w:eastAsia="宋体" w:cs="宋体"/>
              <w:sz w:val="21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"_Toc532919735"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3"/>
              <w:rFonts w:hint="eastAsia" w:ascii="宋体" w:hAnsi="宋体" w:eastAsia="宋体" w:cs="宋体"/>
            </w:rPr>
            <w:t>二、薪资调整规定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_Toc532919735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ind w:firstLine="480"/>
            <w:rPr>
              <w:rFonts w:hint="eastAsia" w:ascii="宋体" w:hAnsi="宋体" w:eastAsia="宋体" w:cs="宋体"/>
              <w:sz w:val="21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"_Toc532919736"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3"/>
              <w:rFonts w:hint="eastAsia" w:ascii="宋体" w:hAnsi="宋体" w:eastAsia="宋体" w:cs="宋体"/>
            </w:rPr>
            <w:t>三、其他调薪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_Toc532919736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ind w:firstLine="480"/>
            <w:rPr>
              <w:rFonts w:hint="eastAsia" w:ascii="宋体" w:hAnsi="宋体" w:eastAsia="宋体" w:cs="宋体"/>
              <w:sz w:val="21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"_Toc532919737"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3"/>
              <w:rFonts w:hint="eastAsia" w:ascii="宋体" w:hAnsi="宋体" w:eastAsia="宋体" w:cs="宋体"/>
            </w:rPr>
            <w:t>四、奖励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_Toc532919737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ind w:firstLine="480"/>
            <w:rPr>
              <w:rFonts w:hint="eastAsia" w:ascii="宋体" w:hAnsi="宋体" w:eastAsia="宋体" w:cs="宋体"/>
              <w:sz w:val="21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"_Toc532919738"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3"/>
              <w:rFonts w:hint="eastAsia" w:ascii="宋体" w:hAnsi="宋体" w:eastAsia="宋体" w:cs="宋体"/>
            </w:rPr>
            <w:t>五、降级降薪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_Toc532919738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ind w:firstLine="480"/>
            <w:rPr>
              <w:rFonts w:hint="eastAsia" w:ascii="宋体" w:hAnsi="宋体" w:eastAsia="宋体" w:cs="宋体"/>
              <w:sz w:val="21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"_Toc532919739"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3"/>
              <w:rFonts w:hint="eastAsia" w:ascii="宋体" w:hAnsi="宋体" w:eastAsia="宋体" w:cs="宋体"/>
            </w:rPr>
            <w:t>六、附则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_Toc532919739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9"/>
            <w:tabs>
              <w:tab w:val="right" w:leader="dot" w:pos="8296"/>
            </w:tabs>
            <w:ind w:firstLine="480"/>
            <w:rPr>
              <w:rFonts w:hint="eastAsia" w:ascii="宋体" w:hAnsi="宋体" w:eastAsia="宋体" w:cs="宋体"/>
              <w:sz w:val="21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"_Toc532919740"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3"/>
              <w:rFonts w:hint="eastAsia" w:ascii="宋体" w:hAnsi="宋体" w:eastAsia="宋体" w:cs="宋体"/>
            </w:rPr>
            <w:t>七、附件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_Toc532919740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ind w:firstLine="482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b/>
              <w:bCs/>
              <w:lang w:val="zh-CN"/>
            </w:rPr>
            <w:fldChar w:fldCharType="end"/>
          </w:r>
        </w:p>
      </w:sdtContent>
    </w:sdt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  <w:bookmarkStart w:id="10" w:name="_GoBack"/>
      <w:bookmarkEnd w:id="10"/>
    </w:p>
    <w:p>
      <w:pPr>
        <w:pStyle w:val="2"/>
        <w:rPr>
          <w:rFonts w:hint="eastAsia" w:ascii="宋体" w:hAnsi="宋体" w:eastAsia="宋体" w:cs="宋体"/>
        </w:rPr>
      </w:pPr>
      <w:bookmarkStart w:id="0" w:name="_Toc532919734"/>
      <w:r>
        <w:rPr>
          <w:rFonts w:hint="eastAsia" w:ascii="宋体" w:hAnsi="宋体" w:eastAsia="宋体" w:cs="宋体"/>
        </w:rPr>
        <w:t>一、总则</w:t>
      </w:r>
      <w:bookmarkEnd w:id="0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第一条: 进一步规范薪资调整管理，打破原有的统一调薪制度、激励为公司创造效益，工作出色的员工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第二条：年度性调薪，依公司年度业务收入情况和员工年度绩效考核及年度出勤而定，年度调薪于每年的三至四月份进行。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第三条：范围适用于公司全体人员</w:t>
      </w:r>
    </w:p>
    <w:p>
      <w:pPr>
        <w:pStyle w:val="2"/>
        <w:rPr>
          <w:rFonts w:hint="eastAsia" w:ascii="宋体" w:hAnsi="宋体" w:eastAsia="宋体" w:cs="宋体"/>
        </w:rPr>
      </w:pPr>
      <w:bookmarkStart w:id="1" w:name="_Toc532919735"/>
      <w:r>
        <w:rPr>
          <w:rFonts w:hint="eastAsia" w:ascii="宋体" w:hAnsi="宋体" w:eastAsia="宋体" w:cs="宋体"/>
        </w:rPr>
        <w:t>二、薪资调整规定</w:t>
      </w:r>
      <w:bookmarkEnd w:id="1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第四条： 调薪类别</w:t>
      </w:r>
      <w:r>
        <w:rPr>
          <w:rFonts w:hint="eastAsia" w:ascii="宋体" w:hAnsi="宋体" w:eastAsia="宋体" w:cs="宋体"/>
        </w:rPr>
        <w:tab/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年度调薪  晋升调岗调薪  个人申请调薪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（一）年度调薪原则：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年度调薪奖励是指对于在公司内工作时间长，且工作表现良好，未出差错，勤奋上进者，公司给于每年一次薪资调整的奖励。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（二）年度调薪对象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连续在公司服务满一年在职员工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（三）以下情况不在调薪范围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3.1 年度请假超过20天者（含事假 病假  年假 产假）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3.2 迟到、早退等情况上一年内15次（含15次）以上者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3.3 距离上次薪资调整未满一年的员工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3.4 参与优秀员工特别调薪不在此调薪范围 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（四）晋升调岗调薪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4.1参照晋升调岗的岗位试用期工资执行，经过试用三个月考核合格能够完全胜任晋升调岗职务工作后，方可调整为晋升调岗的转正工资。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 主管级别的晋升调岗试用期为6个月。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（五）个人申请调薪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5.1 个人申请调薪，是指由于个人表现优异，对公司有重大贡献，或者个人由于工作职责变化、个人成长较大，导致旧薪资水平与个人目前工资标准严重不相符，而申请加薪的奖励。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5.2 由个人向本部门主管提出申请，各相关部门主管或负责人实事求是地根据员工工作业绩、工作能力与工作表现做出客观综合评价，对于同意给予加薪的，由主管撰写不低于500字的说明报告，报送人事行政部。人事部根据员工年度考核结合日常出勤等情况做出薪资调整意见，报送总经理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5.3个人申请条件限制：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对于有以下情况者，公司原则上不予批准调薪申请，请部门主管予以执行。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5.3.1  对于在公司工作未满6个月者；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个人所在项目进度严重迟滞，或者考核指标远远低于预期计划的。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半年内有重大过失，或者记过处分者。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最近6个月内，法定工作日，平均工作时长低于8小时者。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工作表现平庸，无重要贡献者。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薪资水平与市场价值或于个人能力、贡献严重不相符者。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（六）个人调薪申请流程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337185</wp:posOffset>
                </wp:positionV>
                <wp:extent cx="0" cy="466725"/>
                <wp:effectExtent l="38100" t="0" r="38100" b="9525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15.5pt;margin-top:26.55pt;height:36.75pt;width:0pt;z-index:251658240;mso-width-relative:page;mso-height-relative:page;" filled="f" stroked="t" coordsize="21600,21600" o:gfxdata="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5SVuf2AAAAAoBAAAPAAAA&#10;AAAAAAEAIAAAACIAAABkcnMvZG93bnJldi54bWxQSwECFAAUAAAACACHTuJAd3RZfdwBAACY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>员工本人提出申请</w:t>
      </w: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316230</wp:posOffset>
                </wp:positionV>
                <wp:extent cx="0" cy="466725"/>
                <wp:effectExtent l="38100" t="0" r="38100" b="9525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15.5pt;margin-top:24.9pt;height:36.75pt;width:0pt;z-index:251659264;mso-width-relative:page;mso-height-relative:page;" filled="f" stroked="t" coordsize="21600,21600" o:gfxdata="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6KF79gAAAAKAQAADwAA&#10;AAAAAAABACAAAAAiAAAAZHJzL2Rvd25yZXYueG1sUEsBAhQAFAAAAAgAh07iQMgBA1jdAQAAmAMA&#10;AA4AAAAAAAAAAQAgAAAAJw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>员工所在部门主管或负责人作出初评</w:t>
      </w: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361950</wp:posOffset>
                </wp:positionV>
                <wp:extent cx="0" cy="466725"/>
                <wp:effectExtent l="38100" t="0" r="38100" b="952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15.5pt;margin-top:28.5pt;height:36.75pt;width:0pt;z-index:251660288;mso-width-relative:page;mso-height-relative:page;" filled="f" stroked="t" coordsize="21600,21600" o:gfxdata="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87tPzZAAAACgEAAA8A&#10;AAAAAAAAAQAgAAAAIgAAAGRycy9kb3ducmV2LnhtbFBLAQIUABQAAAAIAIdO4kAoXi9X3QEAAJg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>报送人事部复核-人事部主管复核后</w:t>
      </w:r>
      <w:r>
        <w:rPr>
          <w:rFonts w:hint="eastAsia" w:ascii="宋体" w:hAnsi="宋体" w:eastAsia="宋体" w:cs="宋体"/>
        </w:rPr>
        <w:tab/>
      </w: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350520</wp:posOffset>
                </wp:positionV>
                <wp:extent cx="0" cy="466725"/>
                <wp:effectExtent l="38100" t="0" r="38100" b="9525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15.5pt;margin-top:27.6pt;height:36.75pt;width:0pt;z-index:251661312;mso-width-relative:page;mso-height-relative:page;" filled="f" stroked="t" coordsize="21600,21600" o:gfxdata="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vfCQ2QAAAAoBAAAP&#10;AAAAAAAAAAEAIAAAACIAAABkcnMvZG93bnJldi54bWxQSwECFAAUAAAACACHTuJAGxAOld4BAACY&#10;AwAADgAAAAAAAAABACAAAAAo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>呈送总经理审批-总经理核准</w:t>
      </w: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审核通过后次月开始加薪</w:t>
      </w: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第五条：年度调薪幅度分类为三种： </w:t>
      </w:r>
    </w:p>
    <w:tbl>
      <w:tblPr>
        <w:tblStyle w:val="11"/>
        <w:tblW w:w="75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00"/>
        <w:gridCol w:w="1300"/>
        <w:gridCol w:w="1640"/>
        <w:gridCol w:w="1400"/>
      </w:tblGrid>
      <w:tr>
        <w:trPr>
          <w:trHeight w:val="37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优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良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一般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较差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年度绩效分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85-90分以上（不含85）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80-85分以上（含80分）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70-75分以上（含70分）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65-70分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年度调薪幅度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10-15%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8-5%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不予以加薪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淘汰</w:t>
            </w:r>
          </w:p>
        </w:tc>
      </w:tr>
    </w:tbl>
    <w:p>
      <w:pPr>
        <w:pStyle w:val="2"/>
        <w:rPr>
          <w:rFonts w:hint="eastAsia" w:ascii="宋体" w:hAnsi="宋体" w:eastAsia="宋体" w:cs="宋体"/>
        </w:rPr>
      </w:pPr>
      <w:bookmarkStart w:id="2" w:name="_Toc532919736"/>
      <w:r>
        <w:rPr>
          <w:rFonts w:hint="eastAsia" w:ascii="宋体" w:hAnsi="宋体" w:eastAsia="宋体" w:cs="宋体"/>
        </w:rPr>
        <w:t>三、其他调薪</w:t>
      </w:r>
      <w:bookmarkEnd w:id="2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第六条：优秀员工特别调薪，评选上年度优秀员工且一年里未参与其他制度调薪</w:t>
      </w:r>
    </w:p>
    <w:p>
      <w:pPr>
        <w:pStyle w:val="2"/>
        <w:rPr>
          <w:rFonts w:hint="eastAsia" w:ascii="宋体" w:hAnsi="宋体" w:eastAsia="宋体" w:cs="宋体"/>
        </w:rPr>
      </w:pPr>
      <w:bookmarkStart w:id="3" w:name="_Toc532919737"/>
      <w:r>
        <w:rPr>
          <w:rFonts w:hint="eastAsia" w:ascii="宋体" w:hAnsi="宋体" w:eastAsia="宋体" w:cs="宋体"/>
        </w:rPr>
        <w:t>四、奖励</w:t>
      </w:r>
      <w:bookmarkEnd w:id="3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第七条：年度有通报表扬、嘉奖的员工，给予年度绩效考核加2分</w:t>
      </w:r>
    </w:p>
    <w:p>
      <w:pPr>
        <w:pStyle w:val="2"/>
        <w:rPr>
          <w:rFonts w:hint="eastAsia" w:ascii="宋体" w:hAnsi="宋体" w:eastAsia="宋体" w:cs="宋体"/>
        </w:rPr>
      </w:pPr>
      <w:bookmarkStart w:id="4" w:name="_Toc532919738"/>
      <w:r>
        <w:rPr>
          <w:rFonts w:hint="eastAsia" w:ascii="宋体" w:hAnsi="宋体" w:eastAsia="宋体" w:cs="宋体"/>
        </w:rPr>
        <w:t>五、降级降薪</w:t>
      </w:r>
      <w:bookmarkEnd w:id="4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第八条：针对严重违反公司各项规章管理制度、工作重大失误、不能胜任岗位工作者、年度绩效考核评为差者。</w:t>
      </w:r>
    </w:p>
    <w:p>
      <w:pPr>
        <w:pStyle w:val="2"/>
        <w:rPr>
          <w:rFonts w:hint="eastAsia" w:ascii="宋体" w:hAnsi="宋体" w:eastAsia="宋体" w:cs="宋体"/>
        </w:rPr>
      </w:pPr>
      <w:bookmarkStart w:id="5" w:name="_Toc532919739"/>
      <w:r>
        <w:rPr>
          <w:rFonts w:hint="eastAsia" w:ascii="宋体" w:hAnsi="宋体" w:eastAsia="宋体" w:cs="宋体"/>
        </w:rPr>
        <w:t>六、附则</w:t>
      </w:r>
      <w:bookmarkEnd w:id="5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第九条：人事部负责汇总年度总出勤、年度绩效考核平均分.呈送总经理审批、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第十条：本规定由人事行政部负责解释、修订和实施。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第十一条：本规定自发布之日起开始执行。</w:t>
      </w:r>
    </w:p>
    <w:p>
      <w:pPr>
        <w:pStyle w:val="2"/>
        <w:rPr>
          <w:rFonts w:hint="eastAsia" w:ascii="宋体" w:hAnsi="宋体" w:eastAsia="宋体" w:cs="宋体"/>
        </w:rPr>
      </w:pPr>
      <w:bookmarkStart w:id="6" w:name="_Toc532919740"/>
      <w:r>
        <w:rPr>
          <w:rFonts w:hint="eastAsia" w:ascii="宋体" w:hAnsi="宋体" w:eastAsia="宋体" w:cs="宋体"/>
        </w:rPr>
        <w:t>七、附件</w:t>
      </w:r>
      <w:bookmarkEnd w:id="6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附件1：员工年度绩效评价表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附件2：中层管理人员年度绩效评价表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附件3：高层经理年度绩效评价表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附件4：员工薪资定级/调整审批表</w:t>
      </w: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0" w:firstLineChars="0"/>
        <w:rPr>
          <w:rFonts w:hint="eastAsia" w:ascii="宋体" w:hAnsi="宋体" w:eastAsia="宋体" w:cs="宋体"/>
        </w:rPr>
      </w:pPr>
    </w:p>
    <w:p>
      <w:pPr>
        <w:ind w:firstLine="482"/>
        <w:jc w:val="center"/>
        <w:rPr>
          <w:rFonts w:hint="eastAsia" w:ascii="宋体" w:hAnsi="宋体" w:eastAsia="宋体" w:cs="宋体"/>
          <w:b/>
          <w:bCs/>
        </w:rPr>
      </w:pPr>
      <w:bookmarkStart w:id="7" w:name="_Toc53043890"/>
      <w:r>
        <w:rPr>
          <w:rFonts w:hint="eastAsia" w:ascii="宋体" w:hAnsi="宋体" w:eastAsia="宋体" w:cs="宋体"/>
          <w:b/>
          <w:bCs/>
        </w:rPr>
        <w:t>员工年度绩效评价表</w:t>
      </w:r>
      <w:bookmarkEnd w:id="7"/>
    </w:p>
    <w:tbl>
      <w:tblPr>
        <w:tblStyle w:val="11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44"/>
        <w:gridCol w:w="593"/>
        <w:gridCol w:w="601"/>
        <w:gridCol w:w="185"/>
        <w:gridCol w:w="3246"/>
        <w:gridCol w:w="309"/>
        <w:gridCol w:w="117"/>
        <w:gridCol w:w="587"/>
        <w:gridCol w:w="641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9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  名</w:t>
            </w:r>
          </w:p>
        </w:tc>
        <w:tc>
          <w:tcPr>
            <w:tcW w:w="1379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48" w:type="dxa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    务</w:t>
            </w:r>
          </w:p>
        </w:tc>
        <w:tc>
          <w:tcPr>
            <w:tcW w:w="426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 价 人</w:t>
            </w:r>
          </w:p>
        </w:tc>
        <w:tc>
          <w:tcPr>
            <w:tcW w:w="960" w:type="dxa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9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    门</w:t>
            </w:r>
          </w:p>
        </w:tc>
        <w:tc>
          <w:tcPr>
            <w:tcW w:w="1379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48" w:type="dxa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评价区间</w:t>
            </w:r>
          </w:p>
        </w:tc>
        <w:tc>
          <w:tcPr>
            <w:tcW w:w="2610" w:type="dxa"/>
            <w:gridSpan w:val="5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  月∽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73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评价尺度及分数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优秀（10分）  良好（8分）</w:t>
            </w:r>
          </w:p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一般（6分）  较差（4分）  极差（2分）</w:t>
            </w:r>
          </w:p>
        </w:tc>
        <w:tc>
          <w:tcPr>
            <w:tcW w:w="704" w:type="dxa"/>
            <w:gridSpan w:val="2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</w:t>
            </w:r>
          </w:p>
        </w:tc>
        <w:tc>
          <w:tcPr>
            <w:tcW w:w="641" w:type="dxa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本栏平均</w:t>
            </w:r>
          </w:p>
        </w:tc>
        <w:tc>
          <w:tcPr>
            <w:tcW w:w="956" w:type="dxa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权重系数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工作业绩</w:t>
            </w: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1.工作素质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仅考虑工作的品质，与期望值比较，工作过程、结果的符合程度（准确性、反复率等）。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2.工作量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仅考虑完成工作数量。职责内工作、上级交办工作及自主性工作完成的总量。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3.工作速度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仅考虑工作的速度，完成工作的迅速性、时效性，有无浪费时间或拖拉现象。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4.工作达成度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与年度目标或与期望值比较，工作达成与目标或标准之差距，同时应考虑工作客观难度。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工作能力</w:t>
            </w: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5.计划性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工作事前计划程度，对工作（内容、时间、数量、程序）安排分配的合理性、有效性。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6.应变力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针对客观变化，采取措施（行动）的主动性、有效性及工作中对上级的依赖程度。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7.改善创新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问题意识强否，为有效工作，在改进工作方面的主动性及效果。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8.职务技能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对担任职务相关知识的掌握、运用，工作的熟练程度。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9.发展潜力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是否具有学识、涵养，可塑程度。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10.周全缜密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工作认真细致及深入程度，考虑问题的全面性、遗漏率。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工作态度</w:t>
            </w: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11.合作性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人际关系，团队精神及与他人（部门）工作配合情况。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12.责任感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严格要求自己与否，遵守制度纪律情况。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13.工作态度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工作自觉性、积极性；对工作的投入程度，进取精神、勤奋程度、责任心等。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14.执行力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对上级指示、决议、计划的执行程度及执行中对下级检查跟进程度。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5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8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15.品德言行</w:t>
            </w:r>
          </w:p>
        </w:tc>
        <w:tc>
          <w:tcPr>
            <w:tcW w:w="374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是否做到廉洁、诚信，是否具有职业道德。</w:t>
            </w:r>
          </w:p>
        </w:tc>
        <w:tc>
          <w:tcPr>
            <w:tcW w:w="704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评价得分</w:t>
            </w:r>
          </w:p>
        </w:tc>
        <w:tc>
          <w:tcPr>
            <w:tcW w:w="6644" w:type="dxa"/>
            <w:gridSpan w:val="8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Ⅰ （1∽4项平均分）×4 +（5∽10平均分）×3 +（11∽15项平均分）×3 =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2" w:type="dxa"/>
            <w:gridSpan w:val="3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出勤及奖惩</w:t>
            </w:r>
          </w:p>
        </w:tc>
        <w:tc>
          <w:tcPr>
            <w:tcW w:w="6644" w:type="dxa"/>
            <w:gridSpan w:val="8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Ⅱ 出勤：迟到、早退      次×0.5 + 旷工      天×2 +事假      天×0.4 +病假     天</w:t>
            </w:r>
          </w:p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×0.2=      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2" w:type="dxa"/>
            <w:gridSpan w:val="3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4" w:type="dxa"/>
            <w:gridSpan w:val="8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 处罚：警告      次×1 +小过      次×2 +大过      次×5 =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2" w:type="dxa"/>
            <w:gridSpan w:val="3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4" w:type="dxa"/>
            <w:gridSpan w:val="8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Ⅳ 奖励：表扬      次×1 +小功      次×2 +大功      次×5 =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    分</w:t>
            </w:r>
          </w:p>
        </w:tc>
        <w:tc>
          <w:tcPr>
            <w:tcW w:w="6644" w:type="dxa"/>
            <w:gridSpan w:val="8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Ⅰ      分 - Ⅱ      分 - Ⅲ      分 + Ⅳ      分 =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2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评价等级</w:t>
            </w:r>
          </w:p>
        </w:tc>
        <w:tc>
          <w:tcPr>
            <w:tcW w:w="6644" w:type="dxa"/>
            <w:gridSpan w:val="8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□A．90分以上  □B．70∽89分  □C．40∽69分  □D．40分以下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2" w:type="dxa"/>
            <w:gridSpan w:val="3"/>
            <w:tcBorders>
              <w:bottom w:val="single" w:color="auto" w:sz="4" w:space="0"/>
            </w:tcBorders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评价者意见</w:t>
            </w:r>
          </w:p>
        </w:tc>
        <w:tc>
          <w:tcPr>
            <w:tcW w:w="6644" w:type="dxa"/>
            <w:gridSpan w:val="8"/>
            <w:tcBorders>
              <w:bottom w:val="single" w:color="auto" w:sz="4" w:space="0"/>
            </w:tcBorders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480"/>
        <w:rPr>
          <w:rFonts w:hint="eastAsia" w:ascii="宋体" w:hAnsi="宋体" w:eastAsia="宋体" w:cs="宋体"/>
        </w:rPr>
      </w:pPr>
      <w:bookmarkStart w:id="8" w:name="_Toc53043901"/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中层管理人员年度绩效评价表</w:t>
      </w:r>
      <w:bookmarkEnd w:id="8"/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"/>
        <w:gridCol w:w="523"/>
        <w:gridCol w:w="357"/>
        <w:gridCol w:w="359"/>
        <w:gridCol w:w="65"/>
        <w:gridCol w:w="831"/>
        <w:gridCol w:w="1255"/>
        <w:gridCol w:w="1435"/>
        <w:gridCol w:w="1177"/>
        <w:gridCol w:w="482"/>
        <w:gridCol w:w="65"/>
        <w:gridCol w:w="85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  名</w:t>
            </w:r>
          </w:p>
        </w:tc>
        <w:tc>
          <w:tcPr>
            <w:tcW w:w="1612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5" w:type="dxa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    务</w:t>
            </w:r>
          </w:p>
        </w:tc>
        <w:tc>
          <w:tcPr>
            <w:tcW w:w="1435" w:type="dxa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 价 人</w:t>
            </w:r>
          </w:p>
        </w:tc>
        <w:tc>
          <w:tcPr>
            <w:tcW w:w="1709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    门</w:t>
            </w:r>
          </w:p>
        </w:tc>
        <w:tc>
          <w:tcPr>
            <w:tcW w:w="1612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5" w:type="dxa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评价区间</w:t>
            </w:r>
          </w:p>
        </w:tc>
        <w:tc>
          <w:tcPr>
            <w:tcW w:w="4803" w:type="dxa"/>
            <w:gridSpan w:val="6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  月∽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6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评价尺度及分数</w:t>
            </w:r>
          </w:p>
        </w:tc>
        <w:tc>
          <w:tcPr>
            <w:tcW w:w="4763" w:type="dxa"/>
            <w:gridSpan w:val="5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优秀（10分）  良好（8分）</w:t>
            </w:r>
          </w:p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一般（6分）  较差（4分）  极差（2分）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</w:t>
            </w:r>
          </w:p>
        </w:tc>
        <w:tc>
          <w:tcPr>
            <w:tcW w:w="850" w:type="dxa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本栏平均</w:t>
            </w:r>
          </w:p>
        </w:tc>
        <w:tc>
          <w:tcPr>
            <w:tcW w:w="794" w:type="dxa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权重系数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工作绩效</w:t>
            </w: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1.工作达成度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与年度目标或与期望值比较，工作达成与目标或标准之差距，同时应考虑工作客观难度。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2.工作品质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仅考虑工作的品质，与期望值比较，工作过程、结果的符合程度（准确性、反复率等）。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3.工作速度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仅考虑工作的速度，完成工作的迅速性、时效性，有无浪费时间或拖拉现象。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4.工作量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仅考虑完成工作数量。职责内工作、上级交办工作及自主性工作完成的总量。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工作能力</w:t>
            </w: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5.计划性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工作事前计划程度，对工作（内容、时间、数量、程序）安排分配的合理性、有效性。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6．协调沟通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与各方面关系协调，化解矛盾，说服他人，以及人际交往的能力。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7.应变力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应对变化，采取措施或行动的主动性、有效性及工作中对上级的依赖程度。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8.指导控制力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对本部门或下属的激励、指导、培训情况，对本部门的管理控制情况。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9.周全缜密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工作认真细致及深入程度，考虑问题的全面性、遗漏率。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10.人才培养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以对人才的重视程度及对储备人才的培养情况。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11.职务技能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对担任职务相关知识的掌握、运用，工作熟练程度。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工作态度</w:t>
            </w: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12.协作性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人际关系，团队精神及与他人（部门）工作配合情况。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13.以身作则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表率作用如何，严格要求自己与否，遵守制度纪律情况。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14.工作态度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工作自觉性、积极性；对工作的投入程度，进取精神、勤奋程度、责任心等。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15.执行力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对上级指示、决议、计划的执行程度及执行中对下级检查跟进程度。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9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4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16.品德言行</w:t>
            </w:r>
          </w:p>
        </w:tc>
        <w:tc>
          <w:tcPr>
            <w:tcW w:w="4698" w:type="dxa"/>
            <w:gridSpan w:val="4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是否做到廉洁、诚信，是否具有职业道德。</w:t>
            </w:r>
          </w:p>
        </w:tc>
        <w:tc>
          <w:tcPr>
            <w:tcW w:w="547" w:type="dxa"/>
            <w:gridSpan w:val="2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9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评价得分</w:t>
            </w:r>
          </w:p>
        </w:tc>
        <w:tc>
          <w:tcPr>
            <w:tcW w:w="7313" w:type="dxa"/>
            <w:gridSpan w:val="10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Ⅰ （1∽4项平均分）×4 +（5∽11平均分）×3 +（12∽16项平均分）×3 =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9" w:type="dxa"/>
            <w:gridSpan w:val="3"/>
            <w:vMerge w:val="restart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出勤及奖惩</w:t>
            </w:r>
          </w:p>
        </w:tc>
        <w:tc>
          <w:tcPr>
            <w:tcW w:w="7313" w:type="dxa"/>
            <w:gridSpan w:val="10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Ⅱ 出勤：迟到、早退      次×0.5 + 旷工      天×2 +事假      天×0.4 +病假     天</w:t>
            </w:r>
          </w:p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×0.2=      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9" w:type="dxa"/>
            <w:gridSpan w:val="3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13" w:type="dxa"/>
            <w:gridSpan w:val="10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 处罚：警告      次×1 +小过      次×2 +大过      次×5 =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9" w:type="dxa"/>
            <w:gridSpan w:val="3"/>
            <w:vMerge w:val="continue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13" w:type="dxa"/>
            <w:gridSpan w:val="10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Ⅳ 奖励：表扬      次×1 +小功      次×2 +大功      次×5 =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9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    分</w:t>
            </w:r>
          </w:p>
        </w:tc>
        <w:tc>
          <w:tcPr>
            <w:tcW w:w="7313" w:type="dxa"/>
            <w:gridSpan w:val="10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Ⅰ      分 - Ⅱ      分 - Ⅲ      分 + Ⅳ      分 =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9" w:type="dxa"/>
            <w:gridSpan w:val="3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评价等级</w:t>
            </w:r>
          </w:p>
        </w:tc>
        <w:tc>
          <w:tcPr>
            <w:tcW w:w="7313" w:type="dxa"/>
            <w:gridSpan w:val="10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□A．90分以上  □B．70∽89分  □C．40∽69分  □D．40分以下</w:t>
            </w:r>
          </w:p>
        </w:tc>
      </w:tr>
    </w:tbl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2"/>
        <w:jc w:val="center"/>
        <w:rPr>
          <w:rFonts w:hint="eastAsia" w:ascii="宋体" w:hAnsi="宋体" w:eastAsia="宋体" w:cs="宋体"/>
          <w:b/>
          <w:bCs/>
        </w:rPr>
      </w:pPr>
      <w:bookmarkStart w:id="9" w:name="_Toc53043903"/>
      <w:r>
        <w:rPr>
          <w:rFonts w:hint="eastAsia" w:ascii="宋体" w:hAnsi="宋体" w:eastAsia="宋体" w:cs="宋体"/>
          <w:b/>
          <w:bCs/>
        </w:rPr>
        <w:t>高层经理年度绩效评价表</w:t>
      </w:r>
      <w:bookmarkEnd w:id="9"/>
    </w:p>
    <w:tbl>
      <w:tblPr>
        <w:tblStyle w:val="11"/>
        <w:tblpPr w:leftFromText="180" w:rightFromText="180" w:vertAnchor="text" w:horzAnchor="page" w:tblpX="1207" w:tblpY="74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81"/>
        <w:gridCol w:w="292"/>
        <w:gridCol w:w="293"/>
        <w:gridCol w:w="565"/>
        <w:gridCol w:w="1079"/>
        <w:gridCol w:w="1255"/>
        <w:gridCol w:w="1153"/>
        <w:gridCol w:w="186"/>
        <w:gridCol w:w="690"/>
        <w:gridCol w:w="876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gridSpan w:val="2"/>
          </w:tcPr>
          <w:p>
            <w:pPr>
              <w:spacing w:before="60" w:after="6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  名</w:t>
            </w:r>
          </w:p>
        </w:tc>
        <w:tc>
          <w:tcPr>
            <w:tcW w:w="923" w:type="pct"/>
            <w:gridSpan w:val="3"/>
          </w:tcPr>
          <w:p>
            <w:pPr>
              <w:spacing w:before="60" w:after="6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pct"/>
          </w:tcPr>
          <w:p>
            <w:pPr>
              <w:spacing w:before="60" w:after="6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    务</w:t>
            </w:r>
          </w:p>
        </w:tc>
        <w:tc>
          <w:tcPr>
            <w:tcW w:w="821" w:type="pct"/>
          </w:tcPr>
          <w:p>
            <w:pPr>
              <w:spacing w:before="60" w:after="6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21" w:type="pct"/>
            <w:gridSpan w:val="2"/>
          </w:tcPr>
          <w:p>
            <w:pPr>
              <w:spacing w:before="60" w:after="6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 价 人</w:t>
            </w:r>
          </w:p>
        </w:tc>
        <w:tc>
          <w:tcPr>
            <w:tcW w:w="1231" w:type="pct"/>
            <w:gridSpan w:val="3"/>
          </w:tcPr>
          <w:p>
            <w:pPr>
              <w:spacing w:before="60" w:after="6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86" w:type="pct"/>
            <w:gridSpan w:val="2"/>
          </w:tcPr>
          <w:p>
            <w:pPr>
              <w:spacing w:before="60" w:after="6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    门</w:t>
            </w:r>
          </w:p>
        </w:tc>
        <w:tc>
          <w:tcPr>
            <w:tcW w:w="923" w:type="pct"/>
            <w:gridSpan w:val="3"/>
          </w:tcPr>
          <w:p>
            <w:pPr>
              <w:spacing w:before="60" w:after="6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pct"/>
          </w:tcPr>
          <w:p>
            <w:pPr>
              <w:spacing w:before="60" w:after="6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评价区间</w:t>
            </w:r>
          </w:p>
        </w:tc>
        <w:tc>
          <w:tcPr>
            <w:tcW w:w="2872" w:type="pct"/>
            <w:gridSpan w:val="6"/>
          </w:tcPr>
          <w:p>
            <w:pPr>
              <w:spacing w:before="60" w:after="6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    月∽ 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7" w:type="pct"/>
            <w:gridSpan w:val="4"/>
          </w:tcPr>
          <w:p>
            <w:pPr>
              <w:spacing w:before="20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评价尺度及分数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优秀（10分）  良好（8分）</w:t>
            </w:r>
          </w:p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一般（6分）  较差（4分）  极差（2分）</w:t>
            </w:r>
          </w:p>
        </w:tc>
        <w:tc>
          <w:tcPr>
            <w:tcW w:w="283" w:type="pct"/>
            <w:gridSpan w:val="2"/>
          </w:tcPr>
          <w:p>
            <w:pPr>
              <w:spacing w:before="10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</w:t>
            </w:r>
          </w:p>
        </w:tc>
        <w:tc>
          <w:tcPr>
            <w:tcW w:w="486" w:type="pct"/>
          </w:tcPr>
          <w:p>
            <w:pPr>
              <w:spacing w:before="10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本栏平均</w:t>
            </w:r>
          </w:p>
        </w:tc>
        <w:tc>
          <w:tcPr>
            <w:tcW w:w="522" w:type="pct"/>
          </w:tcPr>
          <w:p>
            <w:pPr>
              <w:spacing w:before="10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权重</w:t>
            </w:r>
          </w:p>
          <w:p>
            <w:pPr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restart"/>
          </w:tcPr>
          <w:p>
            <w:pPr>
              <w:spacing w:before="48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工作业绩</w:t>
            </w: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1.目标达成度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与年度目标或与期望值比较，工作达成与目标或标准之差距，同时应考虑工作客观难度。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restart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restart"/>
          </w:tcPr>
          <w:p>
            <w:pPr>
              <w:spacing w:before="100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2.工作品质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仅考虑工作的品质，与期望值比较，工作过程、结果的符合程度（准确性、反复率等）。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3.工作速度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仅考虑工作的速度，完成工作的迅速性、时效性，有无浪费时间或拖拉现象。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4.费用控制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与目标或与期望值比较，实际费用控制程度及费用开支的合理性、必要性。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restart"/>
          </w:tcPr>
          <w:p>
            <w:pPr>
              <w:spacing w:before="140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工作能力</w:t>
            </w: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5.计划性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工作事前计划程度，对工作（内容、时间、数量、程序）安排分配的合理性、有效性。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restart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restart"/>
          </w:tcPr>
          <w:p>
            <w:pPr>
              <w:spacing w:before="160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6.管理能力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把握下属的个性、才干，指导、辅导与激励下属，统一组织行动的能力及用人能力。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7.协调沟通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与各方面关系协调，化解矛盾，说服他人，以及人际交往的能力。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8.应变力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应对变化，采取措施或行动的主动性、有效性及工作中对上级的依赖程度。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9.改善创新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问题意识强否，为了更有效工作，改进工作的主动性及效果。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8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10.判断力</w:t>
            </w:r>
          </w:p>
        </w:tc>
        <w:tc>
          <w:tcPr>
            <w:tcW w:w="2812" w:type="pct"/>
            <w:gridSpan w:val="4"/>
          </w:tcPr>
          <w:p>
            <w:pPr>
              <w:spacing w:before="40" w:after="4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预见性及决策准确性，对事物发展的关键因素、发展趋势与机遇的把握程度。</w:t>
            </w:r>
          </w:p>
        </w:tc>
        <w:tc>
          <w:tcPr>
            <w:tcW w:w="283" w:type="pct"/>
            <w:gridSpan w:val="2"/>
          </w:tcPr>
          <w:p>
            <w:pPr>
              <w:spacing w:before="40" w:after="4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40" w:after="4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11.人才培养</w:t>
            </w:r>
          </w:p>
        </w:tc>
        <w:tc>
          <w:tcPr>
            <w:tcW w:w="2812" w:type="pct"/>
            <w:gridSpan w:val="4"/>
          </w:tcPr>
          <w:p>
            <w:pPr>
              <w:spacing w:before="40" w:after="4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对人才的重视程度及对储备人才的培养情况。</w:t>
            </w:r>
          </w:p>
        </w:tc>
        <w:tc>
          <w:tcPr>
            <w:tcW w:w="283" w:type="pct"/>
            <w:gridSpan w:val="2"/>
          </w:tcPr>
          <w:p>
            <w:pPr>
              <w:spacing w:before="40" w:after="4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12.周全缜密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工作认真细致及深入程度，考虑问题的全面性、遗漏率。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restart"/>
          </w:tcPr>
          <w:p>
            <w:pPr>
              <w:spacing w:before="3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工作态度</w:t>
            </w:r>
          </w:p>
        </w:tc>
        <w:tc>
          <w:tcPr>
            <w:tcW w:w="679" w:type="pct"/>
            <w:gridSpan w:val="3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13.全局观念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团队合作精神，立足全局，从整体出发考虑处理问题能力。</w:t>
            </w:r>
          </w:p>
        </w:tc>
        <w:tc>
          <w:tcPr>
            <w:tcW w:w="283" w:type="pct"/>
            <w:gridSpan w:val="2"/>
            <w:tcBorders>
              <w:bottom w:val="single" w:color="auto" w:sz="4" w:space="0"/>
            </w:tcBorders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restart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restart"/>
          </w:tcPr>
          <w:p>
            <w:pPr>
              <w:spacing w:before="120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40" w:after="4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14.以身作则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表率作用如何，严格要求自己与否，遵守制度纪律情况。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15.工作态度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工作自觉性、积极性；对工作的投入程度，进取精神、勤奋程度、责任心、事业心等。</w:t>
            </w:r>
          </w:p>
        </w:tc>
        <w:tc>
          <w:tcPr>
            <w:tcW w:w="283" w:type="pct"/>
            <w:gridSpan w:val="2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10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16.执行力</w:t>
            </w:r>
          </w:p>
        </w:tc>
        <w:tc>
          <w:tcPr>
            <w:tcW w:w="2812" w:type="pct"/>
            <w:gridSpan w:val="4"/>
          </w:tcPr>
          <w:p>
            <w:pPr>
              <w:spacing w:before="20" w:after="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对公司的战略、决策、计划的执行程度，及执行中对下级检查跟进程度。</w:t>
            </w:r>
          </w:p>
        </w:tc>
        <w:tc>
          <w:tcPr>
            <w:tcW w:w="283" w:type="pct"/>
            <w:gridSpan w:val="2"/>
          </w:tcPr>
          <w:p>
            <w:pPr>
              <w:spacing w:before="40" w:after="4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9" w:type="pct"/>
            <w:gridSpan w:val="3"/>
          </w:tcPr>
          <w:p>
            <w:pPr>
              <w:spacing w:before="40" w:after="4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17.品德言行</w:t>
            </w:r>
          </w:p>
        </w:tc>
        <w:tc>
          <w:tcPr>
            <w:tcW w:w="2812" w:type="pct"/>
            <w:gridSpan w:val="4"/>
          </w:tcPr>
          <w:p>
            <w:pPr>
              <w:spacing w:before="40" w:after="4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是否做到廉洁、诚信与正直，是否具有职业道德。</w:t>
            </w:r>
          </w:p>
        </w:tc>
        <w:tc>
          <w:tcPr>
            <w:tcW w:w="283" w:type="pct"/>
            <w:gridSpan w:val="2"/>
          </w:tcPr>
          <w:p>
            <w:pPr>
              <w:spacing w:before="40" w:after="4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</w:tcPr>
          <w:p>
            <w:pPr>
              <w:spacing w:before="20" w:after="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1" w:type="pct"/>
            <w:gridSpan w:val="3"/>
          </w:tcPr>
          <w:p>
            <w:pPr>
              <w:pStyle w:val="4"/>
              <w:spacing w:before="80" w:after="8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评价得分</w:t>
            </w:r>
          </w:p>
        </w:tc>
        <w:tc>
          <w:tcPr>
            <w:tcW w:w="4309" w:type="pct"/>
            <w:gridSpan w:val="9"/>
          </w:tcPr>
          <w:p>
            <w:pPr>
              <w:pStyle w:val="4"/>
              <w:spacing w:before="80" w:after="8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Ⅰ （1∽4项平均分）×4 +（5∽12平均分）×3 +（13∽17项平均分）×3 =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1" w:type="pct"/>
            <w:gridSpan w:val="3"/>
            <w:vMerge w:val="restart"/>
          </w:tcPr>
          <w:p>
            <w:pPr>
              <w:pStyle w:val="4"/>
              <w:spacing w:before="600" w:after="4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出勤及奖惩</w:t>
            </w:r>
          </w:p>
        </w:tc>
        <w:tc>
          <w:tcPr>
            <w:tcW w:w="4309" w:type="pct"/>
            <w:gridSpan w:val="9"/>
          </w:tcPr>
          <w:p>
            <w:pPr>
              <w:pStyle w:val="4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Ⅱ 出勤：迟到、早退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次×0.5 + 旷工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天×2 +事假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天×0.4 +病假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天</w:t>
            </w:r>
          </w:p>
          <w:p>
            <w:pPr>
              <w:pStyle w:val="4"/>
              <w:ind w:firstLine="360"/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×0.2=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1" w:type="pct"/>
            <w:gridSpan w:val="3"/>
            <w:vMerge w:val="continue"/>
          </w:tcPr>
          <w:p>
            <w:pPr>
              <w:pStyle w:val="4"/>
              <w:spacing w:before="40" w:after="4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9" w:type="pct"/>
            <w:gridSpan w:val="9"/>
          </w:tcPr>
          <w:p>
            <w:pPr>
              <w:pStyle w:val="4"/>
              <w:spacing w:before="80" w:after="8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 处罚：警告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次×1 +小过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次×2 +大过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次×5 =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1" w:type="pct"/>
            <w:gridSpan w:val="3"/>
            <w:vMerge w:val="continue"/>
          </w:tcPr>
          <w:p>
            <w:pPr>
              <w:pStyle w:val="4"/>
              <w:spacing w:before="40" w:after="4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9" w:type="pct"/>
            <w:gridSpan w:val="9"/>
          </w:tcPr>
          <w:p>
            <w:pPr>
              <w:pStyle w:val="4"/>
              <w:spacing w:before="80" w:after="8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Ⅳ 奖励：表扬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次×1 +小功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次×2 +大功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次×5 =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1" w:type="pct"/>
            <w:gridSpan w:val="3"/>
          </w:tcPr>
          <w:p>
            <w:pPr>
              <w:pStyle w:val="4"/>
              <w:spacing w:before="40" w:after="4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    分</w:t>
            </w:r>
          </w:p>
        </w:tc>
        <w:tc>
          <w:tcPr>
            <w:tcW w:w="4309" w:type="pct"/>
            <w:gridSpan w:val="9"/>
          </w:tcPr>
          <w:p>
            <w:pPr>
              <w:pStyle w:val="4"/>
              <w:spacing w:before="40" w:after="4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 - Ⅱ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 - Ⅲ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 + Ⅳ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 =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1" w:type="pct"/>
            <w:gridSpan w:val="3"/>
          </w:tcPr>
          <w:p>
            <w:pPr>
              <w:pStyle w:val="4"/>
              <w:spacing w:before="80" w:after="8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评价等级</w:t>
            </w:r>
          </w:p>
        </w:tc>
        <w:tc>
          <w:tcPr>
            <w:tcW w:w="4309" w:type="pct"/>
            <w:gridSpan w:val="9"/>
          </w:tcPr>
          <w:p>
            <w:pPr>
              <w:pStyle w:val="4"/>
              <w:spacing w:before="80" w:after="8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□A．90分以上  □B．70∽89分  □C．40∽69分  □D．40分以下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1" w:type="pct"/>
            <w:gridSpan w:val="3"/>
            <w:tcBorders>
              <w:bottom w:val="single" w:color="auto" w:sz="4" w:space="0"/>
            </w:tcBorders>
          </w:tcPr>
          <w:p>
            <w:pPr>
              <w:pStyle w:val="4"/>
              <w:spacing w:before="120" w:after="120"/>
              <w:ind w:firstLine="3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评价者意见</w:t>
            </w:r>
          </w:p>
        </w:tc>
        <w:tc>
          <w:tcPr>
            <w:tcW w:w="4309" w:type="pct"/>
            <w:gridSpan w:val="9"/>
            <w:tcBorders>
              <w:bottom w:val="single" w:color="auto" w:sz="4" w:space="0"/>
            </w:tcBorders>
          </w:tcPr>
          <w:p>
            <w:pPr>
              <w:pStyle w:val="4"/>
              <w:spacing w:before="120" w:after="120"/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2"/>
        <w:jc w:val="center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员工薪资定级/调整审批表</w:t>
      </w:r>
    </w:p>
    <w:p>
      <w:pPr>
        <w:ind w:right="-557" w:rightChars="-232" w:firstLine="482"/>
        <w:rPr>
          <w:rFonts w:hint="eastAsia" w:ascii="宋体" w:hAnsi="宋体" w:eastAsia="宋体" w:cs="宋体"/>
          <w:b/>
          <w:u w:val="single"/>
        </w:rPr>
      </w:pPr>
      <w:r>
        <w:rPr>
          <w:rFonts w:hint="eastAsia" w:ascii="宋体" w:hAnsi="宋体" w:eastAsia="宋体" w:cs="宋体"/>
          <w:b/>
        </w:rPr>
        <w:t xml:space="preserve">                                                                     No.</w:t>
      </w:r>
      <w:r>
        <w:rPr>
          <w:rFonts w:hint="eastAsia" w:ascii="宋体" w:hAnsi="宋体" w:eastAsia="宋体" w:cs="宋体"/>
          <w:b/>
          <w:u w:val="single"/>
        </w:rPr>
        <w:t xml:space="preserve">          </w:t>
      </w:r>
    </w:p>
    <w:tbl>
      <w:tblPr>
        <w:tblStyle w:val="11"/>
        <w:tblW w:w="95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751"/>
        <w:gridCol w:w="1149"/>
        <w:gridCol w:w="496"/>
        <w:gridCol w:w="1897"/>
        <w:gridCol w:w="1441"/>
        <w:gridCol w:w="14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61" w:type="dxa"/>
            <w:vAlign w:val="center"/>
          </w:tcPr>
          <w:p>
            <w:pPr>
              <w:ind w:firstLine="36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员工工号</w:t>
            </w:r>
          </w:p>
        </w:tc>
        <w:tc>
          <w:tcPr>
            <w:tcW w:w="1751" w:type="dxa"/>
            <w:vAlign w:val="center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员工姓名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vAlign w:val="center"/>
          </w:tcPr>
          <w:p>
            <w:pPr>
              <w:ind w:firstLine="36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入职日期</w:t>
            </w:r>
          </w:p>
        </w:tc>
        <w:tc>
          <w:tcPr>
            <w:tcW w:w="1419" w:type="dxa"/>
            <w:vAlign w:val="center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61" w:type="dxa"/>
            <w:vAlign w:val="center"/>
          </w:tcPr>
          <w:p>
            <w:pPr>
              <w:ind w:firstLine="36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部门</w:t>
            </w:r>
          </w:p>
        </w:tc>
        <w:tc>
          <w:tcPr>
            <w:tcW w:w="1751" w:type="dxa"/>
            <w:vAlign w:val="center"/>
          </w:tcPr>
          <w:p>
            <w:pPr>
              <w:ind w:firstLine="36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vAlign w:val="center"/>
          </w:tcPr>
          <w:p>
            <w:pPr>
              <w:ind w:firstLine="36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vAlign w:val="center"/>
          </w:tcPr>
          <w:p>
            <w:pPr>
              <w:ind w:firstLine="36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薪资调整生效日期</w:t>
            </w:r>
          </w:p>
        </w:tc>
        <w:tc>
          <w:tcPr>
            <w:tcW w:w="1419" w:type="dxa"/>
            <w:vAlign w:val="center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薪资定级/调整原因：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新录用 □试用期转正 □晋升 □降职  □年度调薪 □特别调薪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4757" w:type="dxa"/>
            <w:gridSpan w:val="4"/>
          </w:tcPr>
          <w:p>
            <w:pPr>
              <w:ind w:left="90" w:hanging="90" w:hangingChars="5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调整前（试用期）薪资情况（税前）合计：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元</w:t>
            </w:r>
          </w:p>
          <w:p>
            <w:pPr>
              <w:ind w:left="90" w:hanging="90" w:hangingChars="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1、基本工资：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元；</w:t>
            </w:r>
          </w:p>
          <w:p>
            <w:pPr>
              <w:ind w:left="90" w:hanging="90" w:hangingChars="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2、各项津贴：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职务    ，工龄   ，餐费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  ；</w:t>
            </w:r>
          </w:p>
          <w:p>
            <w:pPr>
              <w:ind w:left="90" w:hanging="90" w:hangingChars="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3、绩效工资：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元（须根据绩效考核）；</w:t>
            </w:r>
          </w:p>
          <w:p>
            <w:pPr>
              <w:ind w:left="90" w:hanging="90" w:hangingChars="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4、全勤奖金：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元（须根据出勤考核）；</w:t>
            </w:r>
          </w:p>
          <w:p>
            <w:pPr>
              <w:ind w:left="90" w:hanging="90" w:hangingChars="50"/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5、其他：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。</w:t>
            </w:r>
          </w:p>
        </w:tc>
        <w:tc>
          <w:tcPr>
            <w:tcW w:w="4757" w:type="dxa"/>
            <w:gridSpan w:val="3"/>
          </w:tcPr>
          <w:p>
            <w:pPr>
              <w:ind w:left="-14" w:leftChars="-6" w:firstLine="9" w:firstLineChars="5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调整后（转正后）薪资情况（税前）合计：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元</w:t>
            </w:r>
          </w:p>
          <w:p>
            <w:pPr>
              <w:ind w:left="90" w:hanging="90" w:hangingChars="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1、基本工资：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元；</w:t>
            </w:r>
          </w:p>
          <w:p>
            <w:pPr>
              <w:ind w:left="90" w:hanging="90" w:hangingChars="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2、各项津贴：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  ；</w:t>
            </w:r>
          </w:p>
          <w:p>
            <w:pPr>
              <w:ind w:left="90" w:hanging="90" w:hangingChars="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3、绩效工资：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元（须根据绩效考核）；</w:t>
            </w:r>
          </w:p>
          <w:p>
            <w:pPr>
              <w:ind w:left="90" w:hanging="90" w:hangingChars="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4、全勤奖金：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元（须根据出勤考核）；</w:t>
            </w:r>
          </w:p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5、其他：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员工所在部门审核意见：</w:t>
            </w:r>
          </w:p>
          <w:p>
            <w:pPr>
              <w:ind w:firstLine="4410" w:firstLineChars="24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部门主管签字/日期：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行政人事部审核意见：</w:t>
            </w:r>
          </w:p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ind w:firstLine="4410" w:firstLineChars="24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行政人事主管/日期：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514" w:type="dxa"/>
            <w:gridSpan w:val="7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总经理审批意见：                                   </w:t>
            </w:r>
          </w:p>
          <w:p>
            <w:pPr>
              <w:ind w:firstLine="4410" w:firstLineChars="24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总经理签字/日期：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514" w:type="dxa"/>
            <w:gridSpan w:val="7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公司《薪资保密条款》：</w:t>
            </w:r>
          </w:p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1、员工薪酬属于个人隐私和公司秘密，在任何场合、任何情况下，每位员工不得对内、对外泄露本人以及公司的薪资福利待遇的具体细节和具体金额。严格禁止打听、议论、对比他人的工资。</w:t>
            </w:r>
          </w:p>
          <w:p>
            <w:pPr>
              <w:ind w:firstLine="360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2、凡本公司员工，如有透露本人或他人工资的行为，公司将给予警告、记过等行政处分及经济处罚，情节严重的，同时，公司还将保留进一步追究相应法律责任。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514" w:type="dxa"/>
            <w:gridSpan w:val="7"/>
          </w:tcPr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行政人事部沟通情况：</w:t>
            </w:r>
          </w:p>
          <w:p>
            <w:pPr>
              <w:ind w:firstLine="36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ind w:firstLine="4320" w:firstLineChars="24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沟通人签名/日期：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514" w:type="dxa"/>
            <w:gridSpan w:val="7"/>
          </w:tcPr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员工本人确认：</w:t>
            </w:r>
          </w:p>
          <w:p>
            <w:pPr>
              <w:ind w:firstLine="36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本人已完全知晓以上相关内容，特此确认！</w:t>
            </w:r>
          </w:p>
          <w:p>
            <w:pPr>
              <w:ind w:firstLine="4410" w:firstLineChars="24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签名/日期：   </w:t>
            </w:r>
          </w:p>
        </w:tc>
      </w:tr>
    </w:tbl>
    <w:p>
      <w:pPr>
        <w:ind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薪资确认基本流程：</w:t>
      </w:r>
    </w:p>
    <w:p>
      <w:pPr>
        <w:ind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1、行政人事部人员与员工沟通薪资后填写员工基本信息，并行政人事部主管签字确认；</w:t>
      </w:r>
    </w:p>
    <w:p>
      <w:pPr>
        <w:ind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2、部门主管以上职位或者薪资超出正常范围的情况，由总经理签字确认；</w:t>
      </w:r>
    </w:p>
    <w:p>
      <w:pPr>
        <w:ind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3、员工本人签字确认（新员工入职当天签字确认）后，行政人事部将完整的薪资定级/调整审批表存入员工档案。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14F75"/>
    <w:rsid w:val="006B7A14"/>
    <w:rsid w:val="00996C66"/>
    <w:rsid w:val="00D64EC8"/>
    <w:rsid w:val="10F45798"/>
    <w:rsid w:val="174B39D0"/>
    <w:rsid w:val="7BD1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outlineLvl w:val="0"/>
    </w:pPr>
    <w:rPr>
      <w:b/>
      <w:kern w:val="44"/>
      <w:sz w:val="30"/>
    </w:rPr>
  </w:style>
  <w:style w:type="paragraph" w:styleId="3">
    <w:name w:val="heading 3"/>
    <w:basedOn w:val="1"/>
    <w:next w:val="4"/>
    <w:unhideWhenUsed/>
    <w:qFormat/>
    <w:uiPriority w:val="0"/>
    <w:pPr>
      <w:keepNext/>
      <w:keepLines/>
      <w:pageBreakBefore/>
      <w:spacing w:after="120"/>
      <w:jc w:val="left"/>
      <w:outlineLvl w:val="2"/>
    </w:pPr>
    <w:rPr>
      <w:rFonts w:eastAsia="黑体"/>
      <w:sz w:val="28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rPr>
      <w:szCs w:val="20"/>
    </w:rPr>
  </w:style>
  <w:style w:type="paragraph" w:styleId="5">
    <w:name w:val="toc 3"/>
    <w:basedOn w:val="1"/>
    <w:next w:val="1"/>
    <w:uiPriority w:val="39"/>
    <w:pPr>
      <w:ind w:left="840" w:leftChars="400"/>
    </w:pPr>
  </w:style>
  <w:style w:type="paragraph" w:styleId="6">
    <w:name w:val="Balloon Text"/>
    <w:basedOn w:val="1"/>
    <w:link w:val="17"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iPriority w:val="39"/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3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99"/>
  </w:style>
  <w:style w:type="character" w:customStyle="1" w:styleId="15">
    <w:name w:val="页眉 Char"/>
    <w:basedOn w:val="12"/>
    <w:link w:val="8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2"/>
    <w:link w:val="7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框文本 Char"/>
    <w:basedOn w:val="12"/>
    <w:link w:val="6"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86E175-C0D0-4B81-9A26-0A916C4C8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990</Words>
  <Characters>5646</Characters>
  <Lines>47</Lines>
  <Paragraphs>13</Paragraphs>
  <TotalTime>4</TotalTime>
  <ScaleCrop>false</ScaleCrop>
  <LinksUpToDate>false</LinksUpToDate>
  <CharactersWithSpaces>6623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2018-12-18T09:27:00Z</dcterms:created>
  <dc:creator>Administrator</dc:creator>
  <cp:lastModifiedBy>^O^珏</cp:lastModifiedBy>
  <dcterms:modified xsi:type="dcterms:W3CDTF">2020-01-06T15:01:08Z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