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ind w:left="0"/>
        <w:rPr>
          <w:rFonts w:ascii="Times New Roman"/>
          <w:sz w:val="11"/>
        </w:rPr>
      </w:pPr>
    </w:p>
    <w:p>
      <w:pPr>
        <w:spacing w:before="58"/>
        <w:ind w:left="0" w:right="0" w:firstLine="0"/>
        <w:jc w:val="center"/>
        <w:rPr>
          <w:b/>
          <w:sz w:val="30"/>
        </w:rPr>
      </w:pPr>
      <w:r>
        <w:rPr>
          <w:b/>
          <w:sz w:val="30"/>
        </w:rPr>
        <w:t>薪酬调查与薪酬定位</w:t>
      </w:r>
    </w:p>
    <w:p>
      <w:pPr>
        <w:pStyle w:val="BodyText"/>
        <w:spacing w:before="3"/>
        <w:ind w:left="0"/>
        <w:rPr>
          <w:b/>
          <w:sz w:val="35"/>
        </w:rPr>
      </w:pPr>
    </w:p>
    <w:p>
      <w:pPr>
        <w:pStyle w:val="BodyText"/>
        <w:spacing w:line="278" w:lineRule="auto" w:before="1"/>
        <w:ind w:right="217" w:firstLine="420"/>
        <w:jc w:val="both"/>
      </w:pPr>
      <w:r>
        <w:rPr>
          <w:spacing w:val="-9"/>
          <w:w w:val="95"/>
        </w:rPr>
        <w:t>内容提要：薪酬调查是薪酬设计的重要环节，它为企业的薪酬定位提供重要的劳动力市   </w:t>
      </w:r>
      <w:r>
        <w:rPr>
          <w:spacing w:val="-11"/>
          <w:w w:val="95"/>
        </w:rPr>
        <w:t>场的薪酬数据。薪酬调查的一般程序是明确薪酬调查的目的、内容和调查对象；进行职位描   述；选择基准工作；设计薪酬调查问卷；寄发并收集调查问卷；统计和分析调查结果；综合   </w:t>
      </w:r>
      <w:r>
        <w:rPr>
          <w:spacing w:val="-14"/>
          <w:w w:val="95"/>
        </w:rPr>
        <w:t>内部岗位价值结构和外部市场工资水平等。影响企业薪酬定位的因素较多，其中最重要的是   </w:t>
      </w:r>
      <w:r>
        <w:rPr>
          <w:spacing w:val="-14"/>
        </w:rPr>
        <w:t>企业的竞争战略选择。</w:t>
      </w:r>
    </w:p>
    <w:p>
      <w:pPr>
        <w:pStyle w:val="BodyText"/>
        <w:ind w:left="0"/>
        <w:rPr>
          <w:sz w:val="20"/>
        </w:rPr>
      </w:pPr>
    </w:p>
    <w:p>
      <w:pPr>
        <w:pStyle w:val="Heading1"/>
        <w:spacing w:before="129"/>
        <w:ind w:left="640"/>
        <w:rPr>
          <w:rFonts w:ascii="宋体" w:eastAsia="宋体" w:hint="eastAsia"/>
        </w:rPr>
      </w:pPr>
      <w:r>
        <w:rPr>
          <w:rFonts w:ascii="宋体" w:eastAsia="宋体" w:hint="eastAsia"/>
        </w:rPr>
        <w:t>一、薪酬调查</w:t>
      </w:r>
    </w:p>
    <w:p>
      <w:pPr>
        <w:pStyle w:val="BodyText"/>
        <w:spacing w:line="340" w:lineRule="auto" w:before="110"/>
        <w:ind w:right="219" w:firstLine="420"/>
      </w:pPr>
      <w:r>
        <w:rPr>
          <w:spacing w:val="-4"/>
          <w:w w:val="95"/>
        </w:rPr>
        <w:t>薪酬专业人员在化时间精力做薪酬调查之前必须首先考虑的问题是：组织希望从薪酬调  </w:t>
      </w:r>
      <w:r>
        <w:rPr>
          <w:spacing w:val="-4"/>
        </w:rPr>
        <w:t>查中得到什么？是组织自我进行还是使用现有的薪酬调查？</w:t>
      </w:r>
    </w:p>
    <w:p>
      <w:pPr>
        <w:pStyle w:val="BodyText"/>
        <w:spacing w:line="266" w:lineRule="exact"/>
        <w:ind w:left="640"/>
      </w:pPr>
      <w:r>
        <w:rPr/>
        <w:t>（一）组织希望从薪酬调查中得到什么</w:t>
      </w:r>
    </w:p>
    <w:p>
      <w:pPr>
        <w:pStyle w:val="BodyText"/>
        <w:spacing w:line="338" w:lineRule="auto" w:before="110"/>
        <w:ind w:right="217" w:firstLine="420"/>
        <w:jc w:val="both"/>
      </w:pPr>
      <w:r>
        <w:rPr>
          <w:spacing w:val="-4"/>
          <w:w w:val="95"/>
        </w:rPr>
        <w:t>只有借助薪酬市场数据的调查与分析才能实现薪酬外部竞争力，从而达到企业吸引并留   </w:t>
      </w:r>
      <w:r>
        <w:rPr>
          <w:spacing w:val="-10"/>
          <w:w w:val="95"/>
        </w:rPr>
        <w:t>住人才的目的。由于人才是企业获取核心竞争优势的源泉所在，对于要建立竞争优势的企业   而言，薪酬的市场竞争力可以帮助企业获得竞争优势的优秀员工。但是，薪酬水平过高既会   </w:t>
      </w:r>
      <w:r>
        <w:rPr>
          <w:spacing w:val="-12"/>
          <w:w w:val="95"/>
        </w:rPr>
        <w:t>阻碍公司产品的市场灵活性</w:t>
      </w:r>
      <w:r>
        <w:rPr>
          <w:w w:val="95"/>
        </w:rPr>
        <w:t>（因薪酬是产品成本的一部分</w:t>
      </w:r>
      <w:r>
        <w:rPr>
          <w:spacing w:val="-31"/>
          <w:w w:val="95"/>
        </w:rPr>
        <w:t>）</w:t>
      </w:r>
      <w:r>
        <w:rPr>
          <w:spacing w:val="-6"/>
          <w:w w:val="95"/>
        </w:rPr>
        <w:t>，也会限制企业在人力资源其他   </w:t>
      </w:r>
      <w:r>
        <w:rPr>
          <w:spacing w:val="-10"/>
          <w:w w:val="95"/>
        </w:rPr>
        <w:t>方面的投入——培训、开发</w:t>
      </w:r>
      <w:r>
        <w:rPr>
          <w:w w:val="95"/>
        </w:rPr>
        <w:t>（因钱总是有限的</w:t>
      </w:r>
      <w:r>
        <w:rPr>
          <w:spacing w:val="-24"/>
          <w:w w:val="95"/>
        </w:rPr>
        <w:t>）</w:t>
      </w:r>
      <w:r>
        <w:rPr>
          <w:spacing w:val="-5"/>
          <w:w w:val="95"/>
        </w:rPr>
        <w:t>；而薪酬水平过低则会不利于公司对人才的   </w:t>
      </w:r>
      <w:r>
        <w:rPr>
          <w:spacing w:val="-9"/>
          <w:w w:val="95"/>
        </w:rPr>
        <w:t>吸引和保留。解决二者之间平衡关系的现实方法就是借助薪酬数据的调查与分析。因此，薪   </w:t>
      </w:r>
      <w:r>
        <w:rPr>
          <w:spacing w:val="-12"/>
          <w:w w:val="95"/>
        </w:rPr>
        <w:t>酬调查数据既有利于薪酬专业人员解决组织薪酬的外部公平问题，又有利于组织有效的控制   </w:t>
      </w:r>
      <w:r>
        <w:rPr>
          <w:spacing w:val="-12"/>
        </w:rPr>
        <w:t>人力成本的投入。</w:t>
      </w:r>
    </w:p>
    <w:p>
      <w:pPr>
        <w:pStyle w:val="BodyText"/>
        <w:spacing w:before="6"/>
        <w:ind w:left="640"/>
      </w:pPr>
      <w:r>
        <w:rPr/>
        <w:t>（二）组织自我进行还是使用现有的薪酬调查</w:t>
      </w:r>
    </w:p>
    <w:p>
      <w:pPr>
        <w:pStyle w:val="BodyText"/>
        <w:spacing w:line="338" w:lineRule="auto" w:before="110"/>
        <w:ind w:right="126" w:firstLine="420"/>
      </w:pPr>
      <w:r>
        <w:rPr>
          <w:w w:val="95"/>
        </w:rPr>
        <w:t>薪酬专业人员必须决定是开发自己的调查方式和管理方式，还是使用别人的调查结果。  </w:t>
      </w:r>
      <w:r>
        <w:rPr>
          <w:spacing w:val="-9"/>
        </w:rPr>
        <w:t>从理论上讲，组织自我进行的薪酬调查更为可取，因为可以根据公司自己的情况来选择调查</w:t>
      </w:r>
      <w:r>
        <w:rPr>
          <w:spacing w:val="-12"/>
        </w:rPr>
        <w:t>问题，从而得到最有用的信息。组织自我开发的薪酬调查方案应该使雇主可以控制开发调查者所使用的方法和质量。</w:t>
      </w:r>
    </w:p>
    <w:p>
      <w:pPr>
        <w:pStyle w:val="BodyText"/>
        <w:spacing w:line="338" w:lineRule="auto" w:before="4"/>
        <w:ind w:right="217" w:firstLine="420"/>
        <w:jc w:val="both"/>
      </w:pPr>
      <w:r>
        <w:rPr>
          <w:spacing w:val="-7"/>
          <w:w w:val="95"/>
        </w:rPr>
        <w:t>在实际工作中，组织可能会因为以下的理由而不选择自我开发和实施调查：第一，大多   </w:t>
      </w:r>
      <w:r>
        <w:rPr>
          <w:spacing w:val="-11"/>
          <w:w w:val="95"/>
        </w:rPr>
        <w:t>数的公司都没有合格的专业人员来完成这项工作。薪酬调查方案的开发和实施需要在问卷设   </w:t>
      </w:r>
      <w:r>
        <w:rPr>
          <w:spacing w:val="-9"/>
          <w:w w:val="95"/>
        </w:rPr>
        <w:t>计、抽样方法和统计方法等方面有专业知识和特长。第二，对方公司不愿意把自己总体薪酬   </w:t>
      </w:r>
      <w:r>
        <w:rPr>
          <w:spacing w:val="-13"/>
          <w:w w:val="95"/>
        </w:rPr>
        <w:t>的信息透露给竞争对手，这一点是可以理解的，因为薪酬体制是获得竞争优势的工具。即使   </w:t>
      </w:r>
      <w:r>
        <w:rPr>
          <w:spacing w:val="-14"/>
          <w:w w:val="95"/>
        </w:rPr>
        <w:t>其他公司愿意合作，得到的信息也可能是不完全或不准确的。例如，对方公司可能会提供他   </w:t>
      </w:r>
      <w:r>
        <w:rPr>
          <w:spacing w:val="-17"/>
          <w:w w:val="95"/>
        </w:rPr>
        <w:t>们公司工资中最低职位的工资，而不是典型的工资水平。第三，组织自我进行薪酬调查的成   </w:t>
      </w:r>
      <w:r>
        <w:rPr>
          <w:spacing w:val="-15"/>
          <w:w w:val="95"/>
        </w:rPr>
        <w:t>本可能会较高。虽然没有现成的成本数额，但是可以合理的推断大多数公司使用公开发表的   </w:t>
      </w:r>
      <w:r>
        <w:rPr>
          <w:spacing w:val="-16"/>
          <w:w w:val="95"/>
        </w:rPr>
        <w:t>调查资料是为了降低成本。薪酬调查中的主要成本包括人员的工资和福利</w:t>
      </w:r>
      <w:r>
        <w:rPr>
          <w:w w:val="95"/>
        </w:rPr>
        <w:t>（包括开发薪酬调   </w:t>
      </w:r>
      <w:r>
        <w:rPr/>
        <w:t>查和分析解释调查资料的人员），电话费和差旅费，投入的时间等等。</w:t>
      </w:r>
    </w:p>
    <w:p>
      <w:pPr>
        <w:spacing w:after="0" w:line="338" w:lineRule="auto"/>
        <w:jc w:val="both"/>
        <w:sectPr>
          <w:headerReference w:type="default" r:id="rId5"/>
          <w:footerReference w:type="default" r:id="rId6"/>
          <w:type w:val="continuous"/>
          <w:pgSz w:w="11910" w:h="16840"/>
          <w:pgMar w:header="852" w:footer="1900" w:top="1820" w:bottom="2080" w:left="1580" w:right="1580"/>
        </w:sectPr>
      </w:pPr>
    </w:p>
    <w:p>
      <w:pPr>
        <w:pStyle w:val="BodyText"/>
        <w:spacing w:before="161"/>
        <w:ind w:left="640"/>
      </w:pPr>
      <w:r>
        <w:rPr/>
        <w:t>（三）使用公开发表的薪酬调查资料</w:t>
      </w:r>
    </w:p>
    <w:p>
      <w:pPr>
        <w:pStyle w:val="BodyText"/>
        <w:spacing w:line="338" w:lineRule="auto" w:before="110"/>
        <w:ind w:right="126" w:firstLine="420"/>
        <w:jc w:val="both"/>
      </w:pPr>
      <w:r>
        <w:rPr>
          <w:spacing w:val="-5"/>
        </w:rPr>
        <w:t>公司的薪酬专业人员通常依靠现有的薪酬调查，而不是自己进行调查。一些专业机构在</w:t>
      </w:r>
      <w:r>
        <w:rPr>
          <w:spacing w:val="-10"/>
        </w:rPr>
        <w:t>近几年开始进行薪酬调查，并为企业提供薪酬调查结果。薪酬调查是一门复杂的科学，尤其</w:t>
      </w:r>
      <w:r>
        <w:rPr>
          <w:spacing w:val="-14"/>
        </w:rPr>
        <w:t>是当调查的内容涉及到企业的整个薪酬体系时就变得更为复杂。因此，企业在购买和使用这</w:t>
      </w:r>
      <w:r>
        <w:rPr>
          <w:spacing w:val="-14"/>
          <w:w w:val="95"/>
        </w:rPr>
        <w:t>些薪酬调查结果时，人力资源工作者和薪酬专家应该注意以下问题，才能做出正确的决策：</w:t>
      </w:r>
    </w:p>
    <w:p>
      <w:pPr>
        <w:pStyle w:val="ListParagraph"/>
        <w:numPr>
          <w:ilvl w:val="0"/>
          <w:numId w:val="1"/>
        </w:numPr>
        <w:tabs>
          <w:tab w:pos="852" w:val="left" w:leader="none"/>
        </w:tabs>
        <w:spacing w:line="240" w:lineRule="auto" w:before="5" w:after="0"/>
        <w:ind w:left="851" w:right="0" w:hanging="212"/>
        <w:jc w:val="left"/>
        <w:rPr>
          <w:sz w:val="21"/>
        </w:rPr>
      </w:pPr>
      <w:r>
        <w:rPr>
          <w:sz w:val="21"/>
        </w:rPr>
        <w:t>对职位的描述是否清楚</w:t>
      </w:r>
    </w:p>
    <w:p>
      <w:pPr>
        <w:pStyle w:val="BodyText"/>
        <w:spacing w:line="338" w:lineRule="auto" w:before="110"/>
        <w:ind w:right="217" w:firstLine="420"/>
        <w:jc w:val="both"/>
      </w:pPr>
      <w:r>
        <w:rPr>
          <w:spacing w:val="-8"/>
          <w:w w:val="95"/>
        </w:rPr>
        <w:t>在进行薪酬调查时，必须对所调查的职位进行明确而清楚的描述。内容应包括每一职位   </w:t>
      </w:r>
      <w:r>
        <w:rPr>
          <w:spacing w:val="-11"/>
          <w:w w:val="95"/>
        </w:rPr>
        <w:t>的名称；职位目的，也就是该职位对公司的主要价值和贡献；职位职责，即该职位所从事的   </w:t>
      </w:r>
      <w:r>
        <w:rPr>
          <w:spacing w:val="-13"/>
          <w:w w:val="95"/>
        </w:rPr>
        <w:t>主要活动；任职资格，即该职位对任职者的知识、学历、经验、能力等方面的要求。因为同   </w:t>
      </w:r>
      <w:r>
        <w:rPr>
          <w:spacing w:val="-14"/>
          <w:w w:val="95"/>
        </w:rPr>
        <w:t>样的职位名称，可能其工作内容相差特别大，或者其对任职者的资格要求有很大的差别。尤   </w:t>
      </w:r>
      <w:r>
        <w:rPr>
          <w:spacing w:val="-18"/>
          <w:w w:val="95"/>
        </w:rPr>
        <w:t>其是我国国内的职位体系比较混乱，如同样是“行政部经理”，在有些单位可能主要从事后   </w:t>
      </w:r>
      <w:r>
        <w:rPr>
          <w:spacing w:val="-10"/>
          <w:w w:val="95"/>
        </w:rPr>
        <w:t>勤、保安等工作，而在有些单位可能还从事人事工作。在购买和使用薪酬调查结果时，一定   </w:t>
      </w:r>
      <w:r>
        <w:rPr>
          <w:spacing w:val="-14"/>
          <w:w w:val="95"/>
        </w:rPr>
        <w:t>要注意该调查是否包括所调查职位的职位描述，有职位描述的薪酬调查所获得的结果会比没   </w:t>
      </w:r>
      <w:r>
        <w:rPr>
          <w:spacing w:val="-18"/>
          <w:w w:val="95"/>
        </w:rPr>
        <w:t>有职位描述的薪酬调查结果更为准确可靠。并且，应将调查所提供的职位描述与公司相应的   </w:t>
      </w:r>
      <w:r>
        <w:rPr>
          <w:spacing w:val="-15"/>
        </w:rPr>
        <w:t>职位进行比较，只有当两者的重叠度达到 </w:t>
      </w:r>
      <w:r>
        <w:rPr/>
        <w:t>70%</w:t>
      </w:r>
      <w:r>
        <w:rPr>
          <w:spacing w:val="-4"/>
        </w:rPr>
        <w:t>以上时，才能根据所调查职位的结果来确定公司相应职位的薪酬水平。</w:t>
      </w:r>
    </w:p>
    <w:p>
      <w:pPr>
        <w:pStyle w:val="ListParagraph"/>
        <w:numPr>
          <w:ilvl w:val="0"/>
          <w:numId w:val="1"/>
        </w:numPr>
        <w:tabs>
          <w:tab w:pos="852" w:val="left" w:leader="none"/>
        </w:tabs>
        <w:spacing w:line="240" w:lineRule="auto" w:before="5" w:after="0"/>
        <w:ind w:left="851" w:right="0" w:hanging="212"/>
        <w:jc w:val="left"/>
        <w:rPr>
          <w:sz w:val="21"/>
        </w:rPr>
      </w:pPr>
      <w:r>
        <w:rPr>
          <w:sz w:val="21"/>
        </w:rPr>
        <w:t>职位层次是否清晰</w:t>
      </w:r>
    </w:p>
    <w:p>
      <w:pPr>
        <w:pStyle w:val="BodyText"/>
        <w:spacing w:line="338" w:lineRule="auto" w:before="113"/>
        <w:ind w:right="126" w:firstLine="420"/>
      </w:pPr>
      <w:r>
        <w:rPr>
          <w:spacing w:val="-6"/>
        </w:rPr>
        <w:t>某些职位族可能会包括不同层级的职位，比如人力资源职位族就有可能包括人力资源总</w:t>
      </w:r>
      <w:r>
        <w:rPr>
          <w:spacing w:val="-10"/>
        </w:rPr>
        <w:t>监、人力资源经理、人力资源专员等职位。每个公司可能会有不同的职位族，即使是同样的</w:t>
      </w:r>
      <w:r>
        <w:rPr>
          <w:spacing w:val="-11"/>
        </w:rPr>
        <w:t>职位族，其内部所包括的职位层级可能仍不一样。薪酬调查所包括的职位层级数极有可能与</w:t>
      </w:r>
      <w:r>
        <w:rPr>
          <w:spacing w:val="-14"/>
        </w:rPr>
        <w:t>公司的职位层级数不一致，也许调查问卷将人力资源分为 </w:t>
      </w:r>
      <w:r>
        <w:rPr/>
        <w:t>3</w:t>
      </w:r>
      <w:r>
        <w:rPr>
          <w:spacing w:val="-16"/>
        </w:rPr>
        <w:t> 个层级，而公司有 </w:t>
      </w:r>
      <w:r>
        <w:rPr/>
        <w:t>4</w:t>
      </w:r>
      <w:r>
        <w:rPr>
          <w:spacing w:val="-15"/>
        </w:rPr>
        <w:t> 个层级。即</w:t>
      </w:r>
      <w:r>
        <w:rPr>
          <w:spacing w:val="-15"/>
          <w:w w:val="95"/>
        </w:rPr>
        <w:t>使两者的职位层级数相同，每一层次职位的职位描述也有可能不一样。在实际操作过程中，   </w:t>
      </w:r>
      <w:r>
        <w:rPr>
          <w:spacing w:val="-19"/>
        </w:rPr>
        <w:t>一定要注意薪酬调查报告对职位层级的说明。如果薪酬调查所包括的职位层级与公司的职位</w:t>
      </w:r>
      <w:r>
        <w:rPr>
          <w:spacing w:val="-16"/>
        </w:rPr>
        <w:t>层级不完全一致，最好能参照不同调查公司所进行的薪酬调查，根据这些数据进行分析，来确定本公司的每一层级职位的薪酬水平。</w:t>
      </w:r>
    </w:p>
    <w:p>
      <w:pPr>
        <w:pStyle w:val="ListParagraph"/>
        <w:numPr>
          <w:ilvl w:val="0"/>
          <w:numId w:val="1"/>
        </w:numPr>
        <w:tabs>
          <w:tab w:pos="852" w:val="left" w:leader="none"/>
        </w:tabs>
        <w:spacing w:line="240" w:lineRule="auto" w:before="3" w:after="0"/>
        <w:ind w:left="851" w:right="0" w:hanging="212"/>
        <w:jc w:val="left"/>
        <w:rPr>
          <w:sz w:val="21"/>
        </w:rPr>
      </w:pPr>
      <w:r>
        <w:rPr>
          <w:sz w:val="21"/>
        </w:rPr>
        <w:t>调查数据是否最新</w:t>
      </w:r>
    </w:p>
    <w:p>
      <w:pPr>
        <w:pStyle w:val="BodyText"/>
        <w:spacing w:line="338" w:lineRule="auto" w:before="113"/>
        <w:ind w:right="126" w:firstLine="420"/>
      </w:pPr>
      <w:r>
        <w:rPr>
          <w:spacing w:val="-8"/>
        </w:rPr>
        <w:t>从调查的策划、实施、数据处理到最后向市场推出薪酬调查结果，需要一段时间。这段</w:t>
      </w:r>
      <w:r>
        <w:rPr>
          <w:spacing w:val="-8"/>
          <w:w w:val="95"/>
        </w:rPr>
        <w:t>时间的长短与调查公司的专业水平和能力密切相关。时间越长，受到外界环境变化的影响，   </w:t>
      </w:r>
      <w:r>
        <w:rPr>
          <w:spacing w:val="-13"/>
        </w:rPr>
        <w:t>数据的有效性就越值得怀疑；时间越短，相对来说数据就更有效。因此，在购买薪酬调查结</w:t>
      </w:r>
      <w:r>
        <w:rPr>
          <w:spacing w:val="-12"/>
        </w:rPr>
        <w:t>果时，要特别注意调查的时间，一般应该购买最新的薪酬调查结果。当然，如果能购买不同时间段的薪酬调查结果，然后自己根据这些数据进行分析，效果会更为理想。</w:t>
      </w:r>
    </w:p>
    <w:p>
      <w:pPr>
        <w:pStyle w:val="ListParagraph"/>
        <w:numPr>
          <w:ilvl w:val="0"/>
          <w:numId w:val="1"/>
        </w:numPr>
        <w:tabs>
          <w:tab w:pos="852" w:val="left" w:leader="none"/>
        </w:tabs>
        <w:spacing w:line="240" w:lineRule="auto" w:before="1" w:after="0"/>
        <w:ind w:left="851" w:right="0" w:hanging="212"/>
        <w:jc w:val="left"/>
        <w:rPr>
          <w:sz w:val="21"/>
        </w:rPr>
      </w:pPr>
      <w:r>
        <w:rPr>
          <w:sz w:val="21"/>
        </w:rPr>
        <w:t>劳动力市场是否合适？</w:t>
      </w:r>
    </w:p>
    <w:p>
      <w:pPr>
        <w:pStyle w:val="BodyText"/>
        <w:spacing w:before="113"/>
        <w:ind w:left="640"/>
      </w:pPr>
      <w:r>
        <w:rPr/>
        <w:t>职位的劳动力市场决定了薪酬调查的地域和行业。对于低层级的职位来说，比如文员、</w:t>
      </w:r>
    </w:p>
    <w:p>
      <w:pPr>
        <w:spacing w:after="0"/>
        <w:sectPr>
          <w:pgSz w:w="11910" w:h="16840"/>
          <w:pgMar w:header="852" w:footer="1900" w:top="1820" w:bottom="2100" w:left="1580" w:right="1580"/>
        </w:sectPr>
      </w:pPr>
    </w:p>
    <w:p>
      <w:pPr>
        <w:pStyle w:val="BodyText"/>
        <w:spacing w:line="338" w:lineRule="auto" w:before="161"/>
        <w:ind w:right="217"/>
        <w:jc w:val="both"/>
      </w:pPr>
      <w:r>
        <w:rPr>
          <w:spacing w:val="-6"/>
          <w:w w:val="95"/>
        </w:rPr>
        <w:t>一般技术人员和半技术人员，所调查的区域应该是和公司在地理位置上比较接近的地方。对   </w:t>
      </w:r>
      <w:r>
        <w:rPr>
          <w:spacing w:val="-12"/>
        </w:rPr>
        <w:t>于中高级职位而言，比如市场部经理、人力资源副总等，所调查的区域应该更大。如果公司</w:t>
      </w:r>
      <w:r>
        <w:rPr>
          <w:spacing w:val="-11"/>
        </w:rPr>
        <w:t>在北京，要了解秘书等职位的薪酬情况，最好就在北京进行调查，而不是在上海、深圳等地</w:t>
      </w:r>
      <w:r>
        <w:rPr>
          <w:spacing w:val="-12"/>
          <w:w w:val="95"/>
        </w:rPr>
        <w:t>进行调查；而如果要了解高级管理人员的薪酬情况，则最好同时在北京、上海、深圳等地进   </w:t>
      </w:r>
      <w:r>
        <w:rPr>
          <w:spacing w:val="-11"/>
          <w:w w:val="95"/>
        </w:rPr>
        <w:t>行调查。同样，调查所包括的行业也是应该考虑的一个问题，对于低层级的职位来说，行业   </w:t>
      </w:r>
      <w:r>
        <w:rPr>
          <w:spacing w:val="-14"/>
          <w:w w:val="95"/>
        </w:rPr>
        <w:t>之间的差别并不大；而对于中高级管理人员和技术人员来说，最好是选择可能与公司竞争人   </w:t>
      </w:r>
      <w:r>
        <w:rPr>
          <w:spacing w:val="-14"/>
        </w:rPr>
        <w:t>才的行业。</w:t>
      </w:r>
    </w:p>
    <w:p>
      <w:pPr>
        <w:pStyle w:val="ListParagraph"/>
        <w:numPr>
          <w:ilvl w:val="0"/>
          <w:numId w:val="1"/>
        </w:numPr>
        <w:tabs>
          <w:tab w:pos="852" w:val="left" w:leader="none"/>
        </w:tabs>
        <w:spacing w:line="240" w:lineRule="auto" w:before="4" w:after="0"/>
        <w:ind w:left="851" w:right="0" w:hanging="212"/>
        <w:jc w:val="left"/>
        <w:rPr>
          <w:sz w:val="21"/>
        </w:rPr>
      </w:pPr>
      <w:r>
        <w:rPr>
          <w:sz w:val="21"/>
        </w:rPr>
        <w:t>哪些公司参与了薪酬调查</w:t>
      </w:r>
    </w:p>
    <w:p>
      <w:pPr>
        <w:pStyle w:val="BodyText"/>
        <w:spacing w:line="338" w:lineRule="auto" w:before="112"/>
        <w:ind w:right="126" w:firstLine="420"/>
      </w:pPr>
      <w:r>
        <w:rPr>
          <w:w w:val="95"/>
        </w:rPr>
        <w:t>从理论上来说，最好参与调查的公司是本公司在人才、产品和市场等方面的竞争对手。  </w:t>
      </w:r>
      <w:r>
        <w:rPr>
          <w:spacing w:val="-5"/>
        </w:rPr>
        <w:t>在调查中包括与本公司竞争人才的公司，可以了解市场同类职位的薪酬水平，确保公司的薪</w:t>
      </w:r>
      <w:r>
        <w:rPr>
          <w:spacing w:val="-11"/>
        </w:rPr>
        <w:t>酬方案具有外部竞争力。在调查中包括本公司在产品和市场方面的竞争对手，可以确保本公</w:t>
      </w:r>
      <w:r>
        <w:rPr>
          <w:spacing w:val="-15"/>
        </w:rPr>
        <w:t>司的薪酬方案与这些公司保持同步，同时也可以了解这些公司的劳动力成本。但是，一般专</w:t>
      </w:r>
      <w:r>
        <w:rPr>
          <w:spacing w:val="-19"/>
        </w:rPr>
        <w:t>业公司所调查的公司不可能完全与我们的期望一致。此外，大多数公司一方面希望通过填写</w:t>
      </w:r>
      <w:r>
        <w:rPr/>
        <w:t>薪酬调查问卷而获得调查公司所提供的薪酬调查结果，一方面又担心泄露本公司的薪酬信</w:t>
      </w:r>
      <w:r>
        <w:rPr>
          <w:spacing w:val="-9"/>
        </w:rPr>
        <w:t>息，所以在填写时总是特别谨慎，这就使得调查结果大打折扣。因此，在使用专业公司提供</w:t>
      </w:r>
      <w:r>
        <w:rPr>
          <w:spacing w:val="-9"/>
          <w:w w:val="95"/>
        </w:rPr>
        <w:t>的薪酬调查结果时，我们一定要了解哪些公司参与了调查，并谨慎地解释薪酬调查的结果。</w:t>
      </w:r>
    </w:p>
    <w:p>
      <w:pPr>
        <w:pStyle w:val="ListParagraph"/>
        <w:numPr>
          <w:ilvl w:val="0"/>
          <w:numId w:val="1"/>
        </w:numPr>
        <w:tabs>
          <w:tab w:pos="852" w:val="left" w:leader="none"/>
        </w:tabs>
        <w:spacing w:line="240" w:lineRule="auto" w:before="4" w:after="0"/>
        <w:ind w:left="851" w:right="0" w:hanging="212"/>
        <w:jc w:val="left"/>
        <w:rPr>
          <w:sz w:val="21"/>
        </w:rPr>
      </w:pPr>
      <w:r>
        <w:rPr>
          <w:sz w:val="21"/>
        </w:rPr>
        <w:t>是否报告了数据处理方法</w:t>
      </w:r>
    </w:p>
    <w:p>
      <w:pPr>
        <w:pStyle w:val="BodyText"/>
        <w:spacing w:line="338" w:lineRule="auto" w:before="112"/>
        <w:ind w:right="217" w:firstLine="420"/>
        <w:jc w:val="both"/>
      </w:pPr>
      <w:r>
        <w:rPr>
          <w:spacing w:val="-7"/>
          <w:w w:val="95"/>
        </w:rPr>
        <w:t>对于同样的数据，可以采用不同的统计处理方法，得到的结果也可能不一样。在购买专   </w:t>
      </w:r>
      <w:r>
        <w:rPr>
          <w:spacing w:val="-12"/>
          <w:w w:val="95"/>
        </w:rPr>
        <w:t>业公司提供的薪酬调查结果时，一定要特别注意数据的统计处理方法，比如对于明显不符合   </w:t>
      </w:r>
      <w:r>
        <w:rPr>
          <w:w w:val="95"/>
        </w:rPr>
        <w:t>情况的异常值是怎么处理的？对由于被调查者没有填写而造成的缺省值又是怎么处理的？   </w:t>
      </w:r>
      <w:r>
        <w:rPr>
          <w:spacing w:val="-3"/>
          <w:w w:val="95"/>
        </w:rPr>
        <w:t>是怎么对数据进行分组处理的？对于不能提供最终数据处理方法的调查公司，最好不要相信   </w:t>
      </w:r>
      <w:r>
        <w:rPr>
          <w:spacing w:val="-3"/>
        </w:rPr>
        <w:t>其调查结果。这是对数据信度和效度进行判断的简单方法。</w:t>
      </w:r>
    </w:p>
    <w:p>
      <w:pPr>
        <w:pStyle w:val="ListParagraph"/>
        <w:numPr>
          <w:ilvl w:val="0"/>
          <w:numId w:val="1"/>
        </w:numPr>
        <w:tabs>
          <w:tab w:pos="852" w:val="left" w:leader="none"/>
        </w:tabs>
        <w:spacing w:line="240" w:lineRule="auto" w:before="2" w:after="0"/>
        <w:ind w:left="851" w:right="0" w:hanging="212"/>
        <w:jc w:val="left"/>
        <w:rPr>
          <w:sz w:val="21"/>
        </w:rPr>
      </w:pPr>
      <w:r>
        <w:rPr>
          <w:sz w:val="21"/>
        </w:rPr>
        <w:t>是否报告了数据搜集方法</w:t>
      </w:r>
    </w:p>
    <w:p>
      <w:pPr>
        <w:pStyle w:val="BodyText"/>
        <w:spacing w:line="338" w:lineRule="auto" w:before="112"/>
        <w:ind w:right="126" w:firstLine="420"/>
      </w:pPr>
      <w:r>
        <w:rPr>
          <w:w w:val="95"/>
        </w:rPr>
        <w:t>数据搜集是薪酬调查中的重要一环，采用不同的数据搜集方法可能会得到不同的结果。  </w:t>
      </w:r>
      <w:r>
        <w:rPr>
          <w:spacing w:val="-7"/>
        </w:rPr>
        <w:t>在薪酬调查过程中，常用的方法有问卷调查法、访谈法等。问卷调查法相对来说实施起来更</w:t>
      </w:r>
      <w:r>
        <w:rPr>
          <w:spacing w:val="-10"/>
        </w:rPr>
        <w:t>容易，成本更低，但是由于不同的人对不同的问题可能会有不同的理解，使得调查结果受到</w:t>
      </w:r>
      <w:r>
        <w:rPr>
          <w:spacing w:val="-11"/>
        </w:rPr>
        <w:t>影响。访谈法实施难度大，成本高，相对来说数据更可靠，但是数据的可靠性受到访谈员的影响。不管采用什么方法搜集数据，都应在调查报告中附上调查问卷或者访谈提纲。在购买</w:t>
      </w:r>
      <w:r>
        <w:rPr>
          <w:spacing w:val="-13"/>
        </w:rPr>
        <w:t>薪酬调查结果时，应通过调查问卷或访谈提纲来了解调查公司调查了哪些信息，是通过什么方式来获取这些信息的，进而判断其薪酬调查结果的准确性和可靠性。</w:t>
      </w:r>
    </w:p>
    <w:p>
      <w:pPr>
        <w:pStyle w:val="ListParagraph"/>
        <w:numPr>
          <w:ilvl w:val="0"/>
          <w:numId w:val="1"/>
        </w:numPr>
        <w:tabs>
          <w:tab w:pos="852" w:val="left" w:leader="none"/>
        </w:tabs>
        <w:spacing w:line="240" w:lineRule="auto" w:before="4" w:after="0"/>
        <w:ind w:left="851" w:right="0" w:hanging="212"/>
        <w:jc w:val="left"/>
        <w:rPr>
          <w:sz w:val="21"/>
        </w:rPr>
      </w:pPr>
      <w:r>
        <w:rPr>
          <w:sz w:val="21"/>
        </w:rPr>
        <w:t>平均数、中位数、25P</w:t>
      </w:r>
      <w:r>
        <w:rPr>
          <w:spacing w:val="-36"/>
          <w:sz w:val="21"/>
        </w:rPr>
        <w:t> 和 </w:t>
      </w:r>
      <w:r>
        <w:rPr>
          <w:sz w:val="21"/>
        </w:rPr>
        <w:t>75P</w:t>
      </w:r>
      <w:r>
        <w:rPr>
          <w:spacing w:val="-10"/>
          <w:sz w:val="21"/>
        </w:rPr>
        <w:t> 之间的关系</w:t>
      </w:r>
    </w:p>
    <w:p>
      <w:pPr>
        <w:pStyle w:val="BodyText"/>
        <w:spacing w:line="340" w:lineRule="auto" w:before="110"/>
        <w:ind w:right="216" w:firstLine="420"/>
      </w:pPr>
      <w:r>
        <w:rPr/>
        <w:t>一般的薪酬调查结果都应该报告薪酬的平均数、25P</w:t>
      </w:r>
      <w:r>
        <w:rPr>
          <w:spacing w:val="4"/>
        </w:rPr>
        <w:t>、</w:t>
      </w:r>
      <w:r>
        <w:rPr/>
        <w:t>50P、75P</w:t>
      </w:r>
      <w:r>
        <w:rPr>
          <w:spacing w:val="-10"/>
        </w:rPr>
        <w:t>。所谓 </w:t>
      </w:r>
      <w:r>
        <w:rPr/>
        <w:t>25P、50P</w:t>
      </w:r>
      <w:r>
        <w:rPr>
          <w:spacing w:val="4"/>
        </w:rPr>
        <w:t>、</w:t>
      </w:r>
      <w:r>
        <w:rPr/>
        <w:t>75P </w:t>
      </w:r>
      <w:r>
        <w:rPr>
          <w:spacing w:val="-11"/>
        </w:rPr>
        <w:t>就是指，如果调查了 </w:t>
      </w:r>
      <w:r>
        <w:rPr/>
        <w:t>100</w:t>
      </w:r>
      <w:r>
        <w:rPr>
          <w:spacing w:val="-21"/>
        </w:rPr>
        <w:t> 家公司，将这 </w:t>
      </w:r>
      <w:r>
        <w:rPr/>
        <w:t>100</w:t>
      </w:r>
      <w:r>
        <w:rPr>
          <w:spacing w:val="-9"/>
        </w:rPr>
        <w:t> 家公司的薪酬水平从低到高排序，</w:t>
      </w:r>
      <w:r>
        <w:rPr>
          <w:spacing w:val="-10"/>
        </w:rPr>
        <w:t>25P</w:t>
      </w:r>
      <w:r>
        <w:rPr>
          <w:spacing w:val="-39"/>
        </w:rPr>
        <w:t>、</w:t>
      </w:r>
      <w:r>
        <w:rPr/>
        <w:t>50P</w:t>
      </w:r>
      <w:r>
        <w:rPr>
          <w:spacing w:val="-39"/>
        </w:rPr>
        <w:t>、</w:t>
      </w:r>
      <w:r>
        <w:rPr/>
        <w:t>75P</w:t>
      </w:r>
    </w:p>
    <w:p>
      <w:pPr>
        <w:spacing w:after="0" w:line="340" w:lineRule="auto"/>
        <w:sectPr>
          <w:pgSz w:w="11910" w:h="16840"/>
          <w:pgMar w:header="852" w:footer="1900" w:top="1820" w:bottom="2100" w:left="1580" w:right="1580"/>
        </w:sectPr>
      </w:pPr>
    </w:p>
    <w:p>
      <w:pPr>
        <w:pStyle w:val="BodyText"/>
        <w:spacing w:line="338" w:lineRule="auto" w:before="161"/>
        <w:ind w:right="215"/>
        <w:jc w:val="both"/>
      </w:pPr>
      <w:bookmarkStart w:name="_bookmark0" w:id="1"/>
      <w:bookmarkEnd w:id="1"/>
      <w:r>
        <w:rPr/>
      </w:r>
      <w:r>
        <w:rPr>
          <w:spacing w:val="-7"/>
        </w:rPr>
        <w:t>分别代表排名第 </w:t>
      </w:r>
      <w:r>
        <w:rPr/>
        <w:t>25</w:t>
      </w:r>
      <w:r>
        <w:rPr>
          <w:spacing w:val="-22"/>
        </w:rPr>
        <w:t> 位、第 </w:t>
      </w:r>
      <w:r>
        <w:rPr/>
        <w:t>50</w:t>
      </w:r>
      <w:r>
        <w:rPr>
          <w:spacing w:val="-23"/>
        </w:rPr>
        <w:t> 位、第 </w:t>
      </w:r>
      <w:r>
        <w:rPr/>
        <w:t>75</w:t>
      </w:r>
      <w:r>
        <w:rPr>
          <w:spacing w:val="-8"/>
        </w:rPr>
        <w:t> 位的薪酬水平。我们通过检查平均数、</w:t>
      </w:r>
      <w:r>
        <w:rPr/>
        <w:t>25P、50P、75P</w:t>
      </w:r>
      <w:r>
        <w:rPr>
          <w:spacing w:val="-12"/>
        </w:rPr>
        <w:t> 的关系可以让我们对调查结果有一个初步的了解。一般情况下，平均数和 </w:t>
      </w:r>
      <w:r>
        <w:rPr/>
        <w:t>50P</w:t>
      </w:r>
      <w:r>
        <w:rPr>
          <w:spacing w:val="-12"/>
        </w:rPr>
        <w:t> 应该比较接近，25P</w:t>
      </w:r>
      <w:r>
        <w:rPr>
          <w:spacing w:val="-36"/>
        </w:rPr>
        <w:t> 与 </w:t>
      </w:r>
      <w:r>
        <w:rPr/>
        <w:t>50P</w:t>
      </w:r>
      <w:r>
        <w:rPr>
          <w:spacing w:val="-15"/>
        </w:rPr>
        <w:t> 的差别应该与 </w:t>
      </w:r>
      <w:r>
        <w:rPr/>
        <w:t>75P</w:t>
      </w:r>
      <w:r>
        <w:rPr>
          <w:spacing w:val="-36"/>
        </w:rPr>
        <w:t> 与 </w:t>
      </w:r>
      <w:r>
        <w:rPr/>
        <w:t>50P</w:t>
      </w:r>
      <w:r>
        <w:rPr>
          <w:spacing w:val="-11"/>
        </w:rPr>
        <w:t> 的差别比较接近。如果其差距超过 </w:t>
      </w:r>
      <w:r>
        <w:rPr/>
        <w:t>5％时，就应</w:t>
      </w:r>
      <w:r>
        <w:rPr>
          <w:spacing w:val="-8"/>
          <w:w w:val="95"/>
        </w:rPr>
        <w:t>该认真检查有关的统计数据，以保证这种偏差不是由于数据搜集和统计处理等人为因素所造   </w:t>
      </w:r>
      <w:r>
        <w:rPr>
          <w:spacing w:val="-8"/>
        </w:rPr>
        <w:t>成的，再看看这些偏差是什么原因所导致的。</w:t>
      </w:r>
    </w:p>
    <w:p>
      <w:pPr>
        <w:pStyle w:val="ListParagraph"/>
        <w:numPr>
          <w:ilvl w:val="0"/>
          <w:numId w:val="1"/>
        </w:numPr>
        <w:tabs>
          <w:tab w:pos="852" w:val="left" w:leader="none"/>
        </w:tabs>
        <w:spacing w:line="240" w:lineRule="auto" w:before="4" w:after="0"/>
        <w:ind w:left="851" w:right="0" w:hanging="212"/>
        <w:jc w:val="left"/>
        <w:rPr>
          <w:sz w:val="21"/>
        </w:rPr>
      </w:pPr>
      <w:r>
        <w:rPr>
          <w:w w:val="95"/>
          <w:sz w:val="21"/>
        </w:rPr>
        <w:t>每年参加调查的对象是否一致</w:t>
      </w:r>
    </w:p>
    <w:p>
      <w:pPr>
        <w:pStyle w:val="BodyText"/>
        <w:spacing w:line="338" w:lineRule="auto" w:before="110"/>
        <w:ind w:right="217" w:firstLine="420"/>
        <w:jc w:val="both"/>
      </w:pPr>
      <w:r>
        <w:rPr>
          <w:spacing w:val="-5"/>
          <w:w w:val="95"/>
        </w:rPr>
        <w:t>在某些专业机构的薪酬调查中，所调查的公司基本比较稳定。这样，可以对历年的数据   </w:t>
      </w:r>
      <w:r>
        <w:rPr>
          <w:spacing w:val="-11"/>
          <w:w w:val="95"/>
        </w:rPr>
        <w:t>进行分析，找出薪酬的发展趋势。而如果参加调查的公司变动特别大的话，就无法得出薪酬   </w:t>
      </w:r>
      <w:r>
        <w:rPr>
          <w:spacing w:val="-12"/>
          <w:w w:val="95"/>
        </w:rPr>
        <w:t>的发展趋势。一般来说，实力越强的专业公司参加调查的公司会越稳定。也有些薪酬专家通   </w:t>
      </w:r>
      <w:r>
        <w:rPr>
          <w:spacing w:val="-16"/>
          <w:w w:val="95"/>
        </w:rPr>
        <w:t>过分析多家公司提供的多年的薪酬调查数据，来推测薪酬的发展趋势。这种方法在一定程度   </w:t>
      </w:r>
      <w:r>
        <w:rPr>
          <w:spacing w:val="-16"/>
        </w:rPr>
        <w:t>上能降低由于参加调查公司的不同所带来的误差。</w:t>
      </w:r>
    </w:p>
    <w:p>
      <w:pPr>
        <w:pStyle w:val="BodyText"/>
        <w:spacing w:before="6"/>
        <w:ind w:left="0"/>
        <w:rPr>
          <w:sz w:val="24"/>
        </w:rPr>
      </w:pPr>
    </w:p>
    <w:p>
      <w:pPr>
        <w:pStyle w:val="Heading1"/>
        <w:spacing w:before="1"/>
        <w:ind w:left="640"/>
        <w:rPr>
          <w:rFonts w:ascii="宋体" w:hAnsi="宋体" w:eastAsia="宋体" w:hint="eastAsia"/>
          <w:b w:val="0"/>
          <w:sz w:val="10"/>
        </w:rPr>
      </w:pPr>
      <w:r>
        <w:rPr/>
        <w:t>链接 6-1 薪酬调查机构的类型及其利弊</w:t>
      </w:r>
      <w:hyperlink w:history="true" w:anchor="_bookmark0">
        <w:r>
          <w:rPr>
            <w:rFonts w:ascii="宋体" w:hAnsi="宋体" w:eastAsia="宋体" w:hint="eastAsia"/>
            <w:b w:val="0"/>
            <w:position w:val="11"/>
            <w:sz w:val="10"/>
          </w:rPr>
          <w:t>①</w:t>
        </w:r>
      </w:hyperlink>
    </w:p>
    <w:p>
      <w:pPr>
        <w:pStyle w:val="BodyText"/>
        <w:spacing w:line="338" w:lineRule="auto" w:before="62"/>
        <w:ind w:right="219" w:firstLine="420"/>
        <w:jc w:val="both"/>
      </w:pPr>
      <w:r>
        <w:rPr>
          <w:color w:val="333333"/>
          <w:spacing w:val="-5"/>
          <w:w w:val="95"/>
        </w:rPr>
        <w:t>目前中国的薪酬调查有些乱，好像谁都可以做，谁都敢向社会公布。我们经常发现，在   </w:t>
      </w:r>
      <w:r>
        <w:rPr>
          <w:color w:val="333333"/>
          <w:spacing w:val="-9"/>
          <w:w w:val="95"/>
        </w:rPr>
        <w:t>同一地区同一时间不同的调查，其数据会有相当大的差异，让人无所适从。目前社会上比较   </w:t>
      </w:r>
      <w:r>
        <w:rPr>
          <w:color w:val="333333"/>
          <w:spacing w:val="-9"/>
        </w:rPr>
        <w:t>流行的薪酬调查组织类型如下：</w:t>
      </w:r>
    </w:p>
    <w:p>
      <w:pPr>
        <w:pStyle w:val="BodyText"/>
        <w:spacing w:before="2"/>
        <w:ind w:left="640"/>
      </w:pPr>
      <w:r>
        <w:rPr>
          <w:color w:val="333333"/>
        </w:rPr>
        <w:t>1.政府部门薪酬调查</w:t>
      </w:r>
    </w:p>
    <w:p>
      <w:pPr>
        <w:pStyle w:val="BodyText"/>
        <w:spacing w:line="338" w:lineRule="auto" w:before="112"/>
        <w:ind w:right="231" w:firstLine="420"/>
      </w:pPr>
      <w:r>
        <w:rPr>
          <w:color w:val="333333"/>
          <w:spacing w:val="-5"/>
          <w:w w:val="95"/>
        </w:rPr>
        <w:t>目前主要是由劳动部门定期公布地区的薪酬“指导价”。作为政府部门，可以通过行政  </w:t>
      </w:r>
      <w:r>
        <w:rPr>
          <w:color w:val="333333"/>
          <w:spacing w:val="-5"/>
        </w:rPr>
        <w:t>手段收集数据，在薪酬调查中有着极大地便利。</w:t>
      </w:r>
    </w:p>
    <w:p>
      <w:pPr>
        <w:pStyle w:val="BodyText"/>
        <w:spacing w:line="269" w:lineRule="exact"/>
        <w:ind w:left="640"/>
      </w:pPr>
      <w:r>
        <w:rPr>
          <w:color w:val="333333"/>
        </w:rPr>
        <w:t>它具有的优点是：</w:t>
      </w:r>
    </w:p>
    <w:p>
      <w:pPr>
        <w:pStyle w:val="BodyText"/>
        <w:spacing w:before="113"/>
        <w:ind w:left="640"/>
      </w:pPr>
      <w:r>
        <w:rPr>
          <w:color w:val="333333"/>
        </w:rPr>
        <w:t>调查的范围比较广泛，取样多，可以涉及全国许多大中型城市。</w:t>
      </w:r>
    </w:p>
    <w:p>
      <w:pPr>
        <w:pStyle w:val="BodyText"/>
        <w:spacing w:line="338" w:lineRule="auto" w:before="110"/>
        <w:ind w:right="219" w:firstLine="420"/>
        <w:jc w:val="both"/>
      </w:pPr>
      <w:r>
        <w:rPr>
          <w:color w:val="333333"/>
          <w:spacing w:val="-7"/>
          <w:w w:val="95"/>
        </w:rPr>
        <w:t>内容分类细致。大多数的薪酬调查结果类别十分细致，分类标准除了地区、行业、岗位   </w:t>
      </w:r>
      <w:r>
        <w:rPr>
          <w:color w:val="333333"/>
          <w:spacing w:val="-11"/>
          <w:w w:val="95"/>
        </w:rPr>
        <w:t>之外，还有包括企业的技术等级、行政级别、企业类型、所有制类型、劳动者的年龄、学历   </w:t>
      </w:r>
      <w:r>
        <w:rPr>
          <w:color w:val="333333"/>
          <w:spacing w:val="-11"/>
        </w:rPr>
        <w:t>等。</w:t>
      </w:r>
    </w:p>
    <w:p>
      <w:pPr>
        <w:pStyle w:val="BodyText"/>
        <w:spacing w:line="338" w:lineRule="auto" w:before="2"/>
        <w:ind w:right="219" w:firstLine="420"/>
        <w:jc w:val="both"/>
      </w:pPr>
      <w:r>
        <w:rPr>
          <w:color w:val="333333"/>
          <w:spacing w:val="-10"/>
          <w:w w:val="95"/>
        </w:rPr>
        <w:t>各部分可比价性强。由于各地的劳动和社会保障部门和企业的劳资部门执行许多统一的   </w:t>
      </w:r>
      <w:r>
        <w:rPr>
          <w:color w:val="333333"/>
          <w:spacing w:val="-14"/>
          <w:w w:val="95"/>
        </w:rPr>
        <w:t>指标体系且各个分类标准的定义清晰，被调查者对调查内容的认识分歧较少，所提供的数据   </w:t>
      </w:r>
      <w:r>
        <w:rPr>
          <w:color w:val="333333"/>
          <w:spacing w:val="-14"/>
        </w:rPr>
        <w:t>有很强的可比性。</w:t>
      </w:r>
    </w:p>
    <w:p>
      <w:pPr>
        <w:pStyle w:val="BodyText"/>
        <w:spacing w:line="338" w:lineRule="auto" w:before="2"/>
        <w:ind w:right="219" w:firstLine="420"/>
        <w:jc w:val="both"/>
      </w:pPr>
      <w:r>
        <w:rPr>
          <w:color w:val="333333"/>
          <w:spacing w:val="-9"/>
          <w:w w:val="95"/>
        </w:rPr>
        <w:t>结果可靠。由于调查是劳动和社会保障部门执行，被调查的企事业单位配合填写，数据   </w:t>
      </w:r>
      <w:r>
        <w:rPr>
          <w:color w:val="333333"/>
          <w:spacing w:val="-12"/>
          <w:w w:val="95"/>
        </w:rPr>
        <w:t>来源比较规范可靠，全部调查方案由国家统计局批准，结果处理由统计人员进行。误差的可   </w:t>
      </w:r>
      <w:r>
        <w:rPr>
          <w:color w:val="333333"/>
          <w:spacing w:val="-12"/>
        </w:rPr>
        <w:t>能性小。</w:t>
      </w:r>
    </w:p>
    <w:p>
      <w:pPr>
        <w:pStyle w:val="BodyText"/>
        <w:spacing w:before="2"/>
        <w:ind w:left="640"/>
      </w:pPr>
      <w:r>
        <w:rPr>
          <w:color w:val="333333"/>
        </w:rPr>
        <w:t>这类调查也有以下不足：</w:t>
      </w:r>
    </w:p>
    <w:p>
      <w:pPr>
        <w:pStyle w:val="BodyText"/>
        <w:ind w:left="0"/>
        <w:rPr>
          <w:sz w:val="20"/>
        </w:rPr>
      </w:pPr>
    </w:p>
    <w:p>
      <w:pPr>
        <w:pStyle w:val="BodyText"/>
        <w:ind w:left="0"/>
        <w:rPr>
          <w:sz w:val="20"/>
        </w:rPr>
      </w:pPr>
    </w:p>
    <w:p>
      <w:pPr>
        <w:pStyle w:val="BodyText"/>
        <w:spacing w:before="11"/>
        <w:ind w:left="0"/>
        <w:rPr>
          <w:sz w:val="13"/>
        </w:rPr>
      </w:pPr>
      <w:r>
        <w:rPr/>
        <w:pict>
          <v:line style="position:absolute;mso-position-horizontal-relative:page;mso-position-vertical-relative:paragraph;z-index:-251658240;mso-wrap-distance-left:0;mso-wrap-distance-right:0" from="90pt,10.860701pt" to="234pt,10.860701pt" stroked="true" strokeweight="0pt" strokecolor="#000000">
            <v:stroke dashstyle="solid"/>
            <w10:wrap type="topAndBottom"/>
          </v:line>
        </w:pict>
      </w:r>
    </w:p>
    <w:p>
      <w:pPr>
        <w:spacing w:after="0"/>
        <w:rPr>
          <w:sz w:val="13"/>
        </w:rPr>
        <w:sectPr>
          <w:pgSz w:w="11910" w:h="16840"/>
          <w:pgMar w:header="852" w:footer="1900" w:top="1820" w:bottom="2100" w:left="1580" w:right="1580"/>
        </w:sectPr>
      </w:pPr>
    </w:p>
    <w:p>
      <w:pPr>
        <w:pStyle w:val="BodyText"/>
        <w:spacing w:line="338" w:lineRule="auto" w:before="161"/>
        <w:ind w:right="219" w:firstLine="420"/>
        <w:jc w:val="both"/>
      </w:pPr>
      <w:r>
        <w:rPr>
          <w:color w:val="333333"/>
          <w:spacing w:val="-6"/>
          <w:w w:val="95"/>
        </w:rPr>
        <w:t>这类调查的目的是为政府的决策服务。调查结构和执行过程均体现了较强的行政计划体   </w:t>
      </w:r>
      <w:r>
        <w:rPr>
          <w:color w:val="333333"/>
          <w:spacing w:val="-10"/>
          <w:w w:val="95"/>
        </w:rPr>
        <w:t>制的色彩，公布的结果只是一少部分，大部分得结果没有公布。而且对调查的设计、执行以   </w:t>
      </w:r>
      <w:r>
        <w:rPr>
          <w:color w:val="333333"/>
          <w:spacing w:val="-10"/>
        </w:rPr>
        <w:t>及统计结果的意义缺乏说明。</w:t>
      </w:r>
    </w:p>
    <w:p>
      <w:pPr>
        <w:pStyle w:val="BodyText"/>
        <w:spacing w:line="338" w:lineRule="auto" w:before="2"/>
        <w:ind w:right="114" w:firstLine="420"/>
      </w:pPr>
      <w:r>
        <w:rPr>
          <w:color w:val="333333"/>
          <w:spacing w:val="-13"/>
          <w:w w:val="95"/>
        </w:rPr>
        <w:t>调查只停留在工资层面，对其他形式的薪酬没有涉及。还有它的取样主要来自各种报表，   </w:t>
      </w:r>
      <w:r>
        <w:rPr>
          <w:color w:val="333333"/>
          <w:spacing w:val="-17"/>
        </w:rPr>
        <w:t>企业在向上申报时非常可能留一手，比如工资水平不可能申报得太高，因为工资水平可能会</w:t>
      </w:r>
      <w:r>
        <w:rPr>
          <w:color w:val="333333"/>
          <w:spacing w:val="-19"/>
        </w:rPr>
        <w:t>涉及企业的工资总额及税收等。所以劳动部门公布的工资调查，明显低于其他调查机构的数据。因此很难描述各个地区各行业的实际薪酬水平。</w:t>
      </w:r>
    </w:p>
    <w:p>
      <w:pPr>
        <w:pStyle w:val="BodyText"/>
        <w:spacing w:line="340" w:lineRule="auto" w:before="2"/>
        <w:ind w:left="640" w:right="546"/>
      </w:pPr>
      <w:r>
        <w:rPr>
          <w:color w:val="333333"/>
          <w:w w:val="95"/>
        </w:rPr>
        <w:t>数据处理的方法很简单，只算出了平均数或比例而已，没有做进一步的统计处理。  </w:t>
      </w:r>
      <w:r>
        <w:rPr>
          <w:color w:val="333333"/>
        </w:rPr>
        <w:t>2.专业薪酬调查公司</w:t>
      </w:r>
    </w:p>
    <w:p>
      <w:pPr>
        <w:pStyle w:val="BodyText"/>
        <w:spacing w:line="338" w:lineRule="auto"/>
        <w:ind w:right="126" w:firstLine="420"/>
      </w:pPr>
      <w:r>
        <w:rPr>
          <w:color w:val="333333"/>
          <w:spacing w:val="-4"/>
        </w:rPr>
        <w:t>目前专业薪酬调查公司主要是国外独资或合资的公司。一般说，能进入中国并有效开展</w:t>
      </w:r>
      <w:r>
        <w:rPr>
          <w:color w:val="333333"/>
          <w:spacing w:val="-9"/>
        </w:rPr>
        <w:t>业务的外资调查公司都比较大，运作比较规范，数学模型比较成熟。但是这种公司的商业味</w:t>
      </w:r>
      <w:r>
        <w:rPr>
          <w:color w:val="333333"/>
          <w:spacing w:val="-11"/>
        </w:rPr>
        <w:t>道太浓，调查对象的选择缺乏普遍性。比如美国某薪酬调查公司在上海的分公司，每年都要</w:t>
      </w:r>
      <w:r>
        <w:rPr>
          <w:color w:val="333333"/>
          <w:spacing w:val="-7"/>
          <w:w w:val="99"/>
        </w:rPr>
        <w:t>公布一套几本的所谓“中国薪酬调查报告”，但仔细看，根本不能代表中国的薪酬数据，因</w:t>
      </w:r>
      <w:r>
        <w:rPr>
          <w:color w:val="333333"/>
          <w:spacing w:val="-13"/>
        </w:rPr>
        <w:t>为他们对被调查的公司，要收取非常贵的费用，所以参与调查的都是财大气粗的大公司，且以外资为主。因而由此得到的调查数据就明显偏高。当然这些外资调查公司除了开展一年一</w:t>
      </w:r>
      <w:r>
        <w:rPr>
          <w:color w:val="333333"/>
          <w:spacing w:val="-13"/>
          <w:w w:val="95"/>
        </w:rPr>
        <w:t>度的面上调查外，也接受客户单独要求的调查，比如要求调查某地区某行业的薪酬水平等。   </w:t>
      </w:r>
      <w:r>
        <w:rPr>
          <w:color w:val="333333"/>
          <w:spacing w:val="-15"/>
        </w:rPr>
        <w:t>这样的调查针对性强，数据也比较可靠，但费用很高。因为这种调查是不向社会公开的，只</w:t>
      </w:r>
      <w:r>
        <w:rPr>
          <w:color w:val="333333"/>
          <w:spacing w:val="-17"/>
        </w:rPr>
        <w:t>向委托单位收费，而不像上面所说的面上调查，调查报告向社会出售(一本 </w:t>
      </w:r>
      <w:r>
        <w:rPr>
          <w:color w:val="333333"/>
        </w:rPr>
        <w:t>200</w:t>
      </w:r>
      <w:r>
        <w:rPr>
          <w:color w:val="333333"/>
          <w:spacing w:val="-10"/>
        </w:rPr>
        <w:t> 页的报告就可能要千余元美金)</w:t>
      </w:r>
      <w:r>
        <w:rPr>
          <w:color w:val="333333"/>
          <w:spacing w:val="-15"/>
        </w:rPr>
        <w:t>。“半官方”专业调查主要指由政府部门创办的专业调查机构的调查，比</w:t>
      </w:r>
      <w:r>
        <w:rPr>
          <w:color w:val="333333"/>
          <w:spacing w:val="-16"/>
        </w:rPr>
        <w:t>如一些地方的城市调查队。它接受政府或其它单位的委托进行专题调查，其中包括对各种不</w:t>
      </w:r>
      <w:r>
        <w:rPr>
          <w:color w:val="333333"/>
          <w:spacing w:val="-14"/>
        </w:rPr>
        <w:t>同类型对象、目的的薪酬调查。相对来说，这种调查的手段和方法比较先进，对当地社会比</w:t>
      </w:r>
      <w:r>
        <w:rPr>
          <w:color w:val="333333"/>
          <w:spacing w:val="-13"/>
        </w:rPr>
        <w:t>较熟悉，调查水平也比较高。同时因为有“半官方”的特殊身份，能得到官方资料，因此数据也较可靠。但这些调查机构毕竟不是专业的薪酬调查机构，运用的不一定是专门设计的薪酬调查模型，分析解读数据就没有薪酬调查机构专业。</w:t>
      </w:r>
    </w:p>
    <w:p>
      <w:pPr>
        <w:pStyle w:val="BodyText"/>
        <w:spacing w:before="6"/>
        <w:ind w:left="640"/>
      </w:pPr>
      <w:r>
        <w:rPr>
          <w:color w:val="333333"/>
        </w:rPr>
        <w:t>3.人才服务机构调查</w:t>
      </w:r>
    </w:p>
    <w:p>
      <w:pPr>
        <w:pStyle w:val="BodyText"/>
        <w:spacing w:line="338" w:lineRule="auto" w:before="110"/>
        <w:ind w:right="114" w:firstLine="420"/>
      </w:pPr>
      <w:r>
        <w:rPr>
          <w:color w:val="333333"/>
        </w:rPr>
        <w:t>这里所说的人才服务机构主要是两种，一种是人才交流服务机构，比如人才服务中心； 另一种是人才服务招聘网站。由于这些人才服务机构与人才市场的供求双方有着密切的关 </w:t>
      </w:r>
      <w:r>
        <w:rPr>
          <w:color w:val="333333"/>
          <w:spacing w:val="-9"/>
        </w:rPr>
        <w:t>系，特别是网站的超时空特点，所以调查可以随时进行。但这类调查随意性非常强，取样并</w:t>
      </w:r>
      <w:r>
        <w:rPr>
          <w:color w:val="333333"/>
          <w:spacing w:val="-11"/>
        </w:rPr>
        <w:t>不科学，谁愿意接受调查就算做样本，而且这种调查，没有任何约束，基本上“拿到篮里都</w:t>
      </w:r>
      <w:r>
        <w:rPr>
          <w:color w:val="333333"/>
          <w:spacing w:val="-17"/>
          <w:w w:val="95"/>
        </w:rPr>
        <w:t>是菜”，被调查对象提供的数据真实性就差。比如同样的销售经理，可能是一个“六七个人，   </w:t>
      </w:r>
      <w:r>
        <w:rPr>
          <w:color w:val="333333"/>
          <w:spacing w:val="-14"/>
        </w:rPr>
        <w:t>七八条枪”的小公司，也可能是数千人，甚至排进世界 </w:t>
      </w:r>
      <w:r>
        <w:rPr>
          <w:color w:val="333333"/>
        </w:rPr>
        <w:t>500</w:t>
      </w:r>
      <w:r>
        <w:rPr>
          <w:color w:val="333333"/>
          <w:spacing w:val="-9"/>
        </w:rPr>
        <w:t> 强的顶级公司，这两者根本不是</w:t>
      </w:r>
      <w:r>
        <w:rPr>
          <w:color w:val="333333"/>
          <w:spacing w:val="-12"/>
        </w:rPr>
        <w:t>同一个级别，因此就没有可比性。由于这些人才服务机构缺乏专业的调查人才，因此，他们的样本选择、数据采集，数据分析都不专业。</w:t>
      </w:r>
    </w:p>
    <w:p>
      <w:pPr>
        <w:spacing w:after="0" w:line="338" w:lineRule="auto"/>
        <w:sectPr>
          <w:pgSz w:w="11910" w:h="16840"/>
          <w:pgMar w:header="852" w:footer="1900" w:top="1820" w:bottom="2100" w:left="1580" w:right="1580"/>
        </w:sectPr>
      </w:pPr>
    </w:p>
    <w:p>
      <w:pPr>
        <w:pStyle w:val="BodyText"/>
        <w:spacing w:line="338" w:lineRule="auto" w:before="161"/>
        <w:ind w:right="219" w:firstLine="420"/>
      </w:pPr>
      <w:r>
        <w:rPr>
          <w:color w:val="333333"/>
          <w:spacing w:val="-5"/>
          <w:w w:val="95"/>
        </w:rPr>
        <w:t>了解了目前主要薪酬调查的类型及其利弊，我们对薪酬调查就可以选择性被我所用，既  </w:t>
      </w:r>
      <w:r>
        <w:rPr>
          <w:color w:val="333333"/>
          <w:spacing w:val="-5"/>
        </w:rPr>
        <w:t>不能不信，也不能全信，特别是不能被那些“路透社”的“马路消息”牵着鼻子。</w:t>
      </w:r>
    </w:p>
    <w:p>
      <w:pPr>
        <w:pStyle w:val="BodyText"/>
        <w:spacing w:before="10"/>
        <w:ind w:left="0"/>
        <w:rPr>
          <w:sz w:val="29"/>
        </w:rPr>
      </w:pPr>
    </w:p>
    <w:p>
      <w:pPr>
        <w:pStyle w:val="Heading1"/>
        <w:ind w:left="640"/>
        <w:rPr>
          <w:rFonts w:ascii="宋体" w:eastAsia="宋体" w:hint="eastAsia"/>
        </w:rPr>
      </w:pPr>
      <w:r>
        <w:rPr>
          <w:rFonts w:ascii="宋体" w:eastAsia="宋体" w:hint="eastAsia"/>
        </w:rPr>
        <w:t>二、薪酬调查的一般操作步骤</w:t>
      </w:r>
    </w:p>
    <w:p>
      <w:pPr>
        <w:pStyle w:val="BodyText"/>
        <w:spacing w:line="338" w:lineRule="auto" w:before="110"/>
        <w:ind w:right="219" w:firstLine="420"/>
        <w:jc w:val="both"/>
      </w:pPr>
      <w:r>
        <w:rPr>
          <w:spacing w:val="-5"/>
          <w:w w:val="95"/>
        </w:rPr>
        <w:t>一个完整的薪酬调查过程应该包括以下几个步骤：明确薪酬调查的目的、内容和调查对   </w:t>
      </w:r>
      <w:r>
        <w:rPr>
          <w:spacing w:val="-10"/>
          <w:w w:val="95"/>
        </w:rPr>
        <w:t>象；进行职位描述；选择基准工作；设计薪酬调查问卷；寄发并收集调查问卷；统计和分析   </w:t>
      </w:r>
      <w:r>
        <w:rPr>
          <w:spacing w:val="-10"/>
        </w:rPr>
        <w:t>调查结果；综合内部岗位价值结构和外部市场工资水平等。</w:t>
      </w:r>
    </w:p>
    <w:p>
      <w:pPr>
        <w:pStyle w:val="BodyText"/>
        <w:spacing w:before="2"/>
        <w:ind w:left="640"/>
      </w:pPr>
      <w:r>
        <w:rPr/>
        <w:t>（一）明确薪酬调查的目的、内容和调查对象</w:t>
      </w:r>
    </w:p>
    <w:p>
      <w:pPr>
        <w:pStyle w:val="BodyText"/>
        <w:spacing w:line="338" w:lineRule="auto" w:before="113"/>
        <w:ind w:right="219" w:firstLine="420"/>
        <w:jc w:val="both"/>
      </w:pPr>
      <w:r>
        <w:rPr>
          <w:spacing w:val="-5"/>
          <w:w w:val="95"/>
        </w:rPr>
        <w:t>薪酬调查的目的一般包括以下四种：制定薪酬标准、调整薪酬水平、制定薪酬预算和控   </w:t>
      </w:r>
      <w:r>
        <w:rPr>
          <w:spacing w:val="-11"/>
          <w:w w:val="95"/>
        </w:rPr>
        <w:t>制人力成本。这四个目的侧重点虽然不同，但是都需要通过了解劳动力市场上某些职位的薪   </w:t>
      </w:r>
      <w:r>
        <w:rPr>
          <w:spacing w:val="-14"/>
          <w:w w:val="95"/>
        </w:rPr>
        <w:t>酬水平来实现的，只是由于目的不同，需要了解职位的多少不一样而已。如薪酬调查的目的   </w:t>
      </w:r>
      <w:r>
        <w:rPr>
          <w:spacing w:val="-18"/>
          <w:w w:val="95"/>
        </w:rPr>
        <w:t>是为某一职位制定薪酬标准和调整某一职位的薪酬水平，那么只需要对某一职位的市场的薪   </w:t>
      </w:r>
      <w:r>
        <w:rPr>
          <w:spacing w:val="-16"/>
          <w:w w:val="95"/>
        </w:rPr>
        <w:t>酬进行调查就可以了；如果薪酬调查的目标是制定薪酬预算或控制人力成本，那么可能需要   </w:t>
      </w:r>
      <w:r>
        <w:rPr>
          <w:spacing w:val="-16"/>
        </w:rPr>
        <w:t>对某些职位或企业中的所有职位进行薪酬调查。</w:t>
      </w:r>
    </w:p>
    <w:p>
      <w:pPr>
        <w:pStyle w:val="BodyText"/>
        <w:spacing w:line="338" w:lineRule="auto" w:before="3"/>
        <w:ind w:right="114" w:firstLine="420"/>
      </w:pPr>
      <w:r>
        <w:rPr>
          <w:spacing w:val="-7"/>
        </w:rPr>
        <w:t>明确所要调查的职位后，就需要对职位进行功能上和层次上的划分，并由此确定调查对</w:t>
      </w:r>
      <w:r>
        <w:rPr>
          <w:spacing w:val="-8"/>
        </w:rPr>
        <w:t>象。职位按照其功能可以划分为职能职位和业务职位，职能职位一般为通用职位，业务职位</w:t>
      </w:r>
      <w:r>
        <w:rPr>
          <w:spacing w:val="-12"/>
        </w:rPr>
        <w:t>一般为专项职位。对于通用职位，薪酬调查一般在本地区内各企业之间进行就可以了。对于</w:t>
      </w:r>
      <w:r>
        <w:rPr>
          <w:spacing w:val="-16"/>
          <w:w w:val="95"/>
        </w:rPr>
        <w:t>专项职位，薪酬调查可能在本地区同行业内的企业之间进行。对于低层次的职位，比如文员、   </w:t>
      </w:r>
      <w:r>
        <w:rPr>
          <w:spacing w:val="-17"/>
        </w:rPr>
        <w:t>一般技术人员和半技术人员，所调查的区域应该是和公司在地理位置上比较近的地方；对于</w:t>
      </w:r>
      <w:r>
        <w:rPr>
          <w:spacing w:val="-15"/>
        </w:rPr>
        <w:t>中高层次的职位，比如市场经理、人力资源副总监等，所调查的区域应该更大一些，要涉及到几个地域进行。</w:t>
      </w:r>
    </w:p>
    <w:p>
      <w:pPr>
        <w:pStyle w:val="BodyText"/>
        <w:spacing w:before="4"/>
        <w:ind w:left="640"/>
      </w:pPr>
      <w:r>
        <w:rPr/>
        <w:t>（二）进行职位描述</w:t>
      </w:r>
    </w:p>
    <w:p>
      <w:pPr>
        <w:pStyle w:val="BodyText"/>
        <w:spacing w:line="338" w:lineRule="auto" w:before="110"/>
        <w:ind w:right="126" w:firstLine="420"/>
      </w:pPr>
      <w:r>
        <w:rPr>
          <w:spacing w:val="-6"/>
        </w:rPr>
        <w:t>确定所要调查的职位和对象后，就必须对所调查的职位进行明确而清楚的描述。内容应</w:t>
      </w:r>
      <w:r>
        <w:rPr>
          <w:spacing w:val="-11"/>
        </w:rPr>
        <w:t>该包括每一职位的名称；职位的职责；职位的任职资格等。因为同样的职位名称，可能其工</w:t>
      </w:r>
      <w:r>
        <w:rPr>
          <w:spacing w:val="-14"/>
        </w:rPr>
        <w:t>作内容在各个企业相差很大，或者其对该职位任职者的基本素质要求有很大的差异。尤其是</w:t>
      </w:r>
      <w:r>
        <w:rPr>
          <w:spacing w:val="-14"/>
          <w:w w:val="95"/>
        </w:rPr>
        <w:t>我国企业的职位体系比较混乱，如同样是“行政部经理”，在有些企业可能主要从事后勤、   </w:t>
      </w:r>
      <w:r>
        <w:rPr>
          <w:spacing w:val="-13"/>
        </w:rPr>
        <w:t>保安等工作，而在有些企业可能从事人事工作。在调查中，应该将其他企业所提供得职位描</w:t>
      </w:r>
      <w:r>
        <w:rPr>
          <w:spacing w:val="-16"/>
        </w:rPr>
        <w:t>述和本企业相应的职位进行比较，只有当两者的重叠度到达 </w:t>
      </w:r>
      <w:r>
        <w:rPr/>
        <w:t>70</w:t>
      </w:r>
      <w:r>
        <w:rPr>
          <w:spacing w:val="-4"/>
        </w:rPr>
        <w:t>%以上时，才能够根据所调查职位的结果来确定本企业相应职位的薪酬水平。</w:t>
      </w:r>
    </w:p>
    <w:p>
      <w:pPr>
        <w:pStyle w:val="BodyText"/>
        <w:spacing w:line="338" w:lineRule="auto" w:before="6"/>
        <w:ind w:right="219" w:firstLine="420"/>
        <w:jc w:val="both"/>
      </w:pPr>
      <w:r>
        <w:rPr>
          <w:spacing w:val="-5"/>
          <w:w w:val="95"/>
        </w:rPr>
        <w:t>在进行职位描述时还要对职位进行清晰的层级划分。某些职位族可能会包括不同层级的   </w:t>
      </w:r>
      <w:r>
        <w:rPr>
          <w:spacing w:val="-9"/>
          <w:w w:val="95"/>
        </w:rPr>
        <w:t>职位，比如人力资源职位族就有可能包括人力资源总监、人力资源经理、人力资源专员等职   </w:t>
      </w:r>
      <w:r>
        <w:rPr>
          <w:spacing w:val="-9"/>
        </w:rPr>
        <w:t>位。不同的公司可能有不同的职位族，因此在薪酬调查中要正确对职位的类别进行划分。</w:t>
      </w:r>
    </w:p>
    <w:p>
      <w:pPr>
        <w:pStyle w:val="BodyText"/>
        <w:spacing w:before="2"/>
        <w:ind w:left="640"/>
      </w:pPr>
      <w:r>
        <w:rPr/>
        <w:t>（三）选择基准工作</w:t>
      </w:r>
    </w:p>
    <w:p>
      <w:pPr>
        <w:spacing w:after="0"/>
        <w:sectPr>
          <w:pgSz w:w="11910" w:h="16840"/>
          <w:pgMar w:header="852" w:footer="1900" w:top="1820" w:bottom="2100" w:left="1580" w:right="1580"/>
        </w:sectPr>
      </w:pPr>
    </w:p>
    <w:p>
      <w:pPr>
        <w:pStyle w:val="BodyText"/>
        <w:spacing w:line="338" w:lineRule="auto" w:before="161"/>
        <w:ind w:right="219" w:firstLine="420"/>
      </w:pPr>
      <w:bookmarkStart w:name="_bookmark1" w:id="2"/>
      <w:bookmarkEnd w:id="2"/>
      <w:r>
        <w:rPr/>
      </w:r>
      <w:r>
        <w:rPr>
          <w:spacing w:val="-9"/>
          <w:w w:val="95"/>
        </w:rPr>
        <w:t>在薪酬调查中，确定好基本工作是十分重要的。人力资源专业人员根据类似工作的典型  </w:t>
      </w:r>
      <w:r>
        <w:rPr>
          <w:spacing w:val="-9"/>
        </w:rPr>
        <w:t>市场工资水平来确定本企业的薪酬水平。基准工作具有如下四个基本特征：</w:t>
      </w:r>
    </w:p>
    <w:p>
      <w:pPr>
        <w:pStyle w:val="ListParagraph"/>
        <w:numPr>
          <w:ilvl w:val="0"/>
          <w:numId w:val="2"/>
        </w:numPr>
        <w:tabs>
          <w:tab w:pos="1059" w:val="left" w:leader="none"/>
          <w:tab w:pos="1060" w:val="left" w:leader="none"/>
        </w:tabs>
        <w:spacing w:line="240" w:lineRule="auto" w:before="2" w:after="0"/>
        <w:ind w:left="1060" w:right="0" w:hanging="420"/>
        <w:jc w:val="left"/>
        <w:rPr>
          <w:sz w:val="21"/>
        </w:rPr>
      </w:pPr>
      <w:r>
        <w:rPr>
          <w:sz w:val="21"/>
        </w:rPr>
        <w:t>工作内容是大家熟知的、长期相对稳定、且被雇员认可的。</w:t>
      </w:r>
    </w:p>
    <w:p>
      <w:pPr>
        <w:pStyle w:val="ListParagraph"/>
        <w:numPr>
          <w:ilvl w:val="0"/>
          <w:numId w:val="2"/>
        </w:numPr>
        <w:tabs>
          <w:tab w:pos="1059" w:val="left" w:leader="none"/>
          <w:tab w:pos="1060" w:val="left" w:leader="none"/>
        </w:tabs>
        <w:spacing w:line="240" w:lineRule="auto" w:before="110" w:after="0"/>
        <w:ind w:left="1060" w:right="0" w:hanging="420"/>
        <w:jc w:val="left"/>
        <w:rPr>
          <w:sz w:val="21"/>
        </w:rPr>
      </w:pPr>
      <w:r>
        <w:rPr>
          <w:sz w:val="21"/>
        </w:rPr>
        <w:t>是很多不同雇员都从事的工作。</w:t>
      </w:r>
    </w:p>
    <w:p>
      <w:pPr>
        <w:pStyle w:val="ListParagraph"/>
        <w:numPr>
          <w:ilvl w:val="0"/>
          <w:numId w:val="2"/>
        </w:numPr>
        <w:tabs>
          <w:tab w:pos="1059" w:val="left" w:leader="none"/>
          <w:tab w:pos="1060" w:val="left" w:leader="none"/>
        </w:tabs>
        <w:spacing w:line="240" w:lineRule="auto" w:before="113" w:after="0"/>
        <w:ind w:left="1060" w:right="0" w:hanging="420"/>
        <w:jc w:val="left"/>
        <w:rPr>
          <w:sz w:val="21"/>
        </w:rPr>
      </w:pPr>
      <w:r>
        <w:rPr>
          <w:sz w:val="21"/>
        </w:rPr>
        <w:t>代表公司被评价的一系列的工作。</w:t>
      </w:r>
    </w:p>
    <w:p>
      <w:pPr>
        <w:pStyle w:val="ListParagraph"/>
        <w:numPr>
          <w:ilvl w:val="0"/>
          <w:numId w:val="2"/>
        </w:numPr>
        <w:tabs>
          <w:tab w:pos="1059" w:val="left" w:leader="none"/>
          <w:tab w:pos="1060" w:val="left" w:leader="none"/>
        </w:tabs>
        <w:spacing w:line="240" w:lineRule="auto" w:before="110" w:after="0"/>
        <w:ind w:left="1060" w:right="0" w:hanging="420"/>
        <w:jc w:val="left"/>
        <w:rPr>
          <w:sz w:val="21"/>
        </w:rPr>
      </w:pPr>
      <w:r>
        <w:rPr>
          <w:sz w:val="21"/>
        </w:rPr>
        <w:t>被劳动力市场广泛采用来确定工资水平。</w:t>
      </w:r>
    </w:p>
    <w:p>
      <w:pPr>
        <w:pStyle w:val="BodyText"/>
        <w:spacing w:line="338" w:lineRule="auto" w:before="110"/>
        <w:ind w:right="219" w:firstLine="420"/>
      </w:pPr>
      <w:r>
        <w:rPr/>
        <w:t>为什么需要基准工作呢？如果人力资源专业人员能够把本企业的每个工作都和薪酬调</w:t>
      </w:r>
      <w:r>
        <w:rPr>
          <w:spacing w:val="-7"/>
          <w:w w:val="95"/>
        </w:rPr>
        <w:t>查中的工作相对应，那当然是很理想的。但在现实中，一一对应是很难实现的，主要有两个   </w:t>
      </w:r>
      <w:r>
        <w:rPr>
          <w:spacing w:val="-10"/>
          <w:w w:val="95"/>
        </w:rPr>
        <w:t>原因，第一，大公司或企业可能会有成千上万独特工作，要去一一对应会是可怕的任务，既   </w:t>
      </w:r>
      <w:r>
        <w:rPr>
          <w:spacing w:val="-13"/>
          <w:w w:val="95"/>
        </w:rPr>
        <w:t>浪费时间又昂贵；第二，人力资源专业人员很难在薪酬调查中找到和本公司或企业的工作完   全一样的工作，为了适应新的具体环境，公司会对工作职责和范围进行不断调整。人力资源   </w:t>
      </w:r>
      <w:r>
        <w:rPr>
          <w:spacing w:val="-16"/>
          <w:w w:val="95"/>
        </w:rPr>
        <w:t>专业人员可以调整本公司或企业的工作和外部基准工作之间的差异，这些调整往往是以主观   </w:t>
      </w:r>
      <w:r>
        <w:rPr>
          <w:spacing w:val="-14"/>
          <w:w w:val="95"/>
        </w:rPr>
        <w:t>判断为基础，而不是以客观标准为基础。工作责任人和薪酬专业人员应该各自独立地把公司   </w:t>
      </w:r>
      <w:r>
        <w:rPr>
          <w:spacing w:val="-20"/>
        </w:rPr>
        <w:t>里的工作报酬因素和外部基准工作的报酬因素进行比较。表 </w:t>
      </w:r>
      <w:r>
        <w:rPr/>
        <w:t>6-1</w:t>
      </w:r>
      <w:r>
        <w:rPr>
          <w:spacing w:val="-8"/>
        </w:rPr>
        <w:t> 是为此目的制作的一张评分</w:t>
      </w:r>
      <w:r>
        <w:rPr>
          <w:spacing w:val="-11"/>
          <w:w w:val="95"/>
        </w:rPr>
        <w:t>调查表。为了降低调查人个人偏见的影响，工作责任人和主管应分别填写调查问卷，评分的   </w:t>
      </w:r>
      <w:r>
        <w:rPr>
          <w:spacing w:val="-11"/>
        </w:rPr>
        <w:t>差异可以通过讨论来调整。</w:t>
      </w:r>
    </w:p>
    <w:p>
      <w:pPr>
        <w:spacing w:line="185" w:lineRule="exact" w:before="0" w:after="40"/>
        <w:ind w:left="10" w:right="0" w:firstLine="0"/>
        <w:jc w:val="center"/>
        <w:rPr>
          <w:sz w:val="9"/>
        </w:rPr>
      </w:pPr>
      <w:r>
        <w:rPr>
          <w:b/>
          <w:sz w:val="18"/>
        </w:rPr>
        <w:t>表 6-1 公司工作和基准工作的比较</w:t>
      </w:r>
      <w:hyperlink w:history="true" w:anchor="_bookmark1">
        <w:r>
          <w:rPr>
            <w:position w:val="9"/>
            <w:sz w:val="9"/>
          </w:rPr>
          <w:t>②</w:t>
        </w:r>
      </w:hyperlink>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8"/>
        <w:gridCol w:w="720"/>
        <w:gridCol w:w="1394"/>
      </w:tblGrid>
      <w:tr>
        <w:trPr>
          <w:trHeight w:val="623" w:hRule="atLeast"/>
        </w:trPr>
        <w:tc>
          <w:tcPr>
            <w:tcW w:w="8522" w:type="dxa"/>
            <w:gridSpan w:val="3"/>
          </w:tcPr>
          <w:p>
            <w:pPr>
              <w:pStyle w:val="TableParagraph"/>
              <w:spacing w:before="41"/>
              <w:rPr>
                <w:sz w:val="18"/>
              </w:rPr>
            </w:pPr>
            <w:r>
              <w:rPr>
                <w:sz w:val="18"/>
              </w:rPr>
              <w:t>工作责任人：把你的工作和基准工作进行比较</w:t>
            </w:r>
          </w:p>
          <w:p>
            <w:pPr>
              <w:pStyle w:val="TableParagraph"/>
              <w:spacing w:before="82"/>
              <w:rPr>
                <w:sz w:val="18"/>
              </w:rPr>
            </w:pPr>
            <w:r>
              <w:rPr>
                <w:sz w:val="18"/>
              </w:rPr>
              <w:t>主管：把你的员工的工作和基准工作进行比较</w:t>
            </w:r>
          </w:p>
        </w:tc>
      </w:tr>
      <w:tr>
        <w:trPr>
          <w:trHeight w:val="312" w:hRule="atLeast"/>
        </w:trPr>
        <w:tc>
          <w:tcPr>
            <w:tcW w:w="6408" w:type="dxa"/>
          </w:tcPr>
          <w:p>
            <w:pPr>
              <w:pStyle w:val="TableParagraph"/>
              <w:ind w:left="0"/>
              <w:rPr>
                <w:rFonts w:ascii="Times New Roman"/>
                <w:sz w:val="18"/>
              </w:rPr>
            </w:pPr>
          </w:p>
        </w:tc>
        <w:tc>
          <w:tcPr>
            <w:tcW w:w="720" w:type="dxa"/>
          </w:tcPr>
          <w:p>
            <w:pPr>
              <w:pStyle w:val="TableParagraph"/>
              <w:ind w:left="0"/>
              <w:rPr>
                <w:rFonts w:ascii="Times New Roman"/>
                <w:sz w:val="18"/>
              </w:rPr>
            </w:pPr>
          </w:p>
        </w:tc>
        <w:tc>
          <w:tcPr>
            <w:tcW w:w="1394" w:type="dxa"/>
          </w:tcPr>
          <w:p>
            <w:pPr>
              <w:pStyle w:val="TableParagraph"/>
              <w:spacing w:before="41"/>
              <w:rPr>
                <w:sz w:val="18"/>
              </w:rPr>
            </w:pPr>
            <w:r>
              <w:rPr>
                <w:sz w:val="18"/>
              </w:rPr>
              <w:t>调整工资</w:t>
            </w:r>
          </w:p>
        </w:tc>
      </w:tr>
      <w:tr>
        <w:trPr>
          <w:trHeight w:val="311" w:hRule="atLeast"/>
        </w:trPr>
        <w:tc>
          <w:tcPr>
            <w:tcW w:w="6408" w:type="dxa"/>
          </w:tcPr>
          <w:p>
            <w:pPr>
              <w:pStyle w:val="TableParagraph"/>
              <w:spacing w:before="40"/>
              <w:rPr>
                <w:sz w:val="18"/>
              </w:rPr>
            </w:pPr>
            <w:r>
              <w:rPr>
                <w:sz w:val="18"/>
              </w:rPr>
              <w:t>技术（在最准确的叙述后面打钩）</w:t>
            </w:r>
          </w:p>
        </w:tc>
        <w:tc>
          <w:tcPr>
            <w:tcW w:w="720" w:type="dxa"/>
          </w:tcPr>
          <w:p>
            <w:pPr>
              <w:pStyle w:val="TableParagraph"/>
              <w:ind w:left="0"/>
              <w:rPr>
                <w:rFonts w:ascii="Times New Roman"/>
                <w:sz w:val="18"/>
              </w:rPr>
            </w:pPr>
          </w:p>
        </w:tc>
        <w:tc>
          <w:tcPr>
            <w:tcW w:w="1394" w:type="dxa"/>
          </w:tcPr>
          <w:p>
            <w:pPr>
              <w:pStyle w:val="TableParagraph"/>
              <w:ind w:left="0"/>
              <w:rPr>
                <w:rFonts w:ascii="Times New Roman"/>
                <w:sz w:val="18"/>
              </w:rPr>
            </w:pPr>
          </w:p>
        </w:tc>
      </w:tr>
      <w:tr>
        <w:trPr>
          <w:trHeight w:val="312" w:hRule="atLeast"/>
        </w:trPr>
        <w:tc>
          <w:tcPr>
            <w:tcW w:w="6408" w:type="dxa"/>
          </w:tcPr>
          <w:p>
            <w:pPr>
              <w:pStyle w:val="TableParagraph"/>
              <w:spacing w:before="40"/>
              <w:ind w:left="287"/>
              <w:rPr>
                <w:sz w:val="18"/>
              </w:rPr>
            </w:pPr>
            <w:r>
              <w:rPr>
                <w:sz w:val="18"/>
              </w:rPr>
              <w:t>我（的员工）的工作比基准工作要求的技术高很多</w:t>
            </w:r>
          </w:p>
        </w:tc>
        <w:tc>
          <w:tcPr>
            <w:tcW w:w="720" w:type="dxa"/>
          </w:tcPr>
          <w:p>
            <w:pPr>
              <w:pStyle w:val="TableParagraph"/>
              <w:spacing w:before="40"/>
              <w:rPr>
                <w:sz w:val="18"/>
              </w:rPr>
            </w:pPr>
            <w:r>
              <w:rPr>
                <w:sz w:val="18"/>
              </w:rPr>
              <w:t>□</w:t>
            </w:r>
          </w:p>
        </w:tc>
        <w:tc>
          <w:tcPr>
            <w:tcW w:w="1394" w:type="dxa"/>
          </w:tcPr>
          <w:p>
            <w:pPr>
              <w:pStyle w:val="TableParagraph"/>
              <w:spacing w:before="40"/>
              <w:rPr>
                <w:sz w:val="18"/>
              </w:rPr>
            </w:pPr>
            <w:r>
              <w:rPr>
                <w:sz w:val="18"/>
              </w:rPr>
              <w:t>+4%</w:t>
            </w:r>
          </w:p>
        </w:tc>
      </w:tr>
      <w:tr>
        <w:trPr>
          <w:trHeight w:val="311" w:hRule="atLeast"/>
        </w:trPr>
        <w:tc>
          <w:tcPr>
            <w:tcW w:w="6408" w:type="dxa"/>
          </w:tcPr>
          <w:p>
            <w:pPr>
              <w:pStyle w:val="TableParagraph"/>
              <w:spacing w:before="40"/>
              <w:ind w:left="287"/>
              <w:rPr>
                <w:sz w:val="18"/>
              </w:rPr>
            </w:pPr>
            <w:r>
              <w:rPr>
                <w:sz w:val="18"/>
              </w:rPr>
              <w:t>我（的员工）的工作比基准工作要求的技术高一些</w:t>
            </w:r>
          </w:p>
        </w:tc>
        <w:tc>
          <w:tcPr>
            <w:tcW w:w="720" w:type="dxa"/>
          </w:tcPr>
          <w:p>
            <w:pPr>
              <w:pStyle w:val="TableParagraph"/>
              <w:spacing w:before="40"/>
              <w:rPr>
                <w:sz w:val="18"/>
              </w:rPr>
            </w:pPr>
            <w:r>
              <w:rPr>
                <w:sz w:val="18"/>
              </w:rPr>
              <w:t>□</w:t>
            </w:r>
          </w:p>
        </w:tc>
        <w:tc>
          <w:tcPr>
            <w:tcW w:w="1394" w:type="dxa"/>
          </w:tcPr>
          <w:p>
            <w:pPr>
              <w:pStyle w:val="TableParagraph"/>
              <w:spacing w:before="40"/>
              <w:rPr>
                <w:sz w:val="18"/>
              </w:rPr>
            </w:pPr>
            <w:r>
              <w:rPr>
                <w:sz w:val="18"/>
              </w:rPr>
              <w:t>+2%</w:t>
            </w:r>
          </w:p>
        </w:tc>
      </w:tr>
      <w:tr>
        <w:trPr>
          <w:trHeight w:val="312" w:hRule="atLeast"/>
        </w:trPr>
        <w:tc>
          <w:tcPr>
            <w:tcW w:w="6408" w:type="dxa"/>
          </w:tcPr>
          <w:p>
            <w:pPr>
              <w:pStyle w:val="TableParagraph"/>
              <w:spacing w:before="42"/>
              <w:ind w:left="287"/>
              <w:rPr>
                <w:sz w:val="18"/>
              </w:rPr>
            </w:pPr>
            <w:r>
              <w:rPr>
                <w:sz w:val="18"/>
              </w:rPr>
              <w:t>我（的员工）的工作比基准工作要求的技术一样</w:t>
            </w:r>
          </w:p>
        </w:tc>
        <w:tc>
          <w:tcPr>
            <w:tcW w:w="720" w:type="dxa"/>
          </w:tcPr>
          <w:p>
            <w:pPr>
              <w:pStyle w:val="TableParagraph"/>
              <w:spacing w:before="42"/>
              <w:rPr>
                <w:sz w:val="18"/>
              </w:rPr>
            </w:pPr>
            <w:r>
              <w:rPr>
                <w:sz w:val="18"/>
              </w:rPr>
              <w:t>□</w:t>
            </w:r>
          </w:p>
        </w:tc>
        <w:tc>
          <w:tcPr>
            <w:tcW w:w="1394" w:type="dxa"/>
          </w:tcPr>
          <w:p>
            <w:pPr>
              <w:pStyle w:val="TableParagraph"/>
              <w:spacing w:before="42"/>
              <w:rPr>
                <w:sz w:val="18"/>
              </w:rPr>
            </w:pPr>
            <w:r>
              <w:rPr>
                <w:sz w:val="18"/>
              </w:rPr>
              <w:t>0%</w:t>
            </w:r>
          </w:p>
        </w:tc>
      </w:tr>
      <w:tr>
        <w:trPr>
          <w:trHeight w:val="311" w:hRule="atLeast"/>
        </w:trPr>
        <w:tc>
          <w:tcPr>
            <w:tcW w:w="6408" w:type="dxa"/>
          </w:tcPr>
          <w:p>
            <w:pPr>
              <w:pStyle w:val="TableParagraph"/>
              <w:spacing w:before="41"/>
              <w:ind w:left="287"/>
              <w:rPr>
                <w:sz w:val="18"/>
              </w:rPr>
            </w:pPr>
            <w:r>
              <w:rPr>
                <w:sz w:val="18"/>
              </w:rPr>
              <w:t>我（的员工）的工作比基准工作要求的技术低一些</w:t>
            </w:r>
          </w:p>
        </w:tc>
        <w:tc>
          <w:tcPr>
            <w:tcW w:w="720" w:type="dxa"/>
          </w:tcPr>
          <w:p>
            <w:pPr>
              <w:pStyle w:val="TableParagraph"/>
              <w:spacing w:before="41"/>
              <w:rPr>
                <w:sz w:val="18"/>
              </w:rPr>
            </w:pPr>
            <w:r>
              <w:rPr>
                <w:sz w:val="18"/>
              </w:rPr>
              <w:t>□</w:t>
            </w:r>
          </w:p>
        </w:tc>
        <w:tc>
          <w:tcPr>
            <w:tcW w:w="1394" w:type="dxa"/>
          </w:tcPr>
          <w:p>
            <w:pPr>
              <w:pStyle w:val="TableParagraph"/>
              <w:spacing w:before="41"/>
              <w:rPr>
                <w:sz w:val="18"/>
              </w:rPr>
            </w:pPr>
            <w:r>
              <w:rPr>
                <w:sz w:val="18"/>
              </w:rPr>
              <w:t>-2%</w:t>
            </w:r>
          </w:p>
        </w:tc>
      </w:tr>
      <w:tr>
        <w:trPr>
          <w:trHeight w:val="312" w:hRule="atLeast"/>
        </w:trPr>
        <w:tc>
          <w:tcPr>
            <w:tcW w:w="6408" w:type="dxa"/>
          </w:tcPr>
          <w:p>
            <w:pPr>
              <w:pStyle w:val="TableParagraph"/>
              <w:spacing w:before="41"/>
              <w:ind w:left="287"/>
              <w:rPr>
                <w:sz w:val="18"/>
              </w:rPr>
            </w:pPr>
            <w:r>
              <w:rPr>
                <w:sz w:val="18"/>
              </w:rPr>
              <w:t>我（的员工）的工作比基准工作要求的技术低很多</w:t>
            </w:r>
          </w:p>
        </w:tc>
        <w:tc>
          <w:tcPr>
            <w:tcW w:w="720" w:type="dxa"/>
          </w:tcPr>
          <w:p>
            <w:pPr>
              <w:pStyle w:val="TableParagraph"/>
              <w:spacing w:before="41"/>
              <w:rPr>
                <w:sz w:val="18"/>
              </w:rPr>
            </w:pPr>
            <w:r>
              <w:rPr>
                <w:sz w:val="18"/>
              </w:rPr>
              <w:t>□</w:t>
            </w:r>
          </w:p>
        </w:tc>
        <w:tc>
          <w:tcPr>
            <w:tcW w:w="1394" w:type="dxa"/>
          </w:tcPr>
          <w:p>
            <w:pPr>
              <w:pStyle w:val="TableParagraph"/>
              <w:spacing w:before="41"/>
              <w:rPr>
                <w:sz w:val="18"/>
              </w:rPr>
            </w:pPr>
            <w:r>
              <w:rPr>
                <w:sz w:val="18"/>
              </w:rPr>
              <w:t>-4%</w:t>
            </w:r>
          </w:p>
        </w:tc>
      </w:tr>
      <w:tr>
        <w:trPr>
          <w:trHeight w:val="312" w:hRule="atLeast"/>
        </w:trPr>
        <w:tc>
          <w:tcPr>
            <w:tcW w:w="6408" w:type="dxa"/>
          </w:tcPr>
          <w:p>
            <w:pPr>
              <w:pStyle w:val="TableParagraph"/>
              <w:spacing w:before="40"/>
              <w:rPr>
                <w:sz w:val="18"/>
              </w:rPr>
            </w:pPr>
            <w:r>
              <w:rPr>
                <w:sz w:val="18"/>
              </w:rPr>
              <w:t>努力程度（在最准确的叙述后面打钩）</w:t>
            </w:r>
          </w:p>
        </w:tc>
        <w:tc>
          <w:tcPr>
            <w:tcW w:w="720" w:type="dxa"/>
          </w:tcPr>
          <w:p>
            <w:pPr>
              <w:pStyle w:val="TableParagraph"/>
              <w:ind w:left="0"/>
              <w:rPr>
                <w:rFonts w:ascii="Times New Roman"/>
                <w:sz w:val="18"/>
              </w:rPr>
            </w:pPr>
          </w:p>
        </w:tc>
        <w:tc>
          <w:tcPr>
            <w:tcW w:w="1394" w:type="dxa"/>
          </w:tcPr>
          <w:p>
            <w:pPr>
              <w:pStyle w:val="TableParagraph"/>
              <w:ind w:left="0"/>
              <w:rPr>
                <w:rFonts w:ascii="Times New Roman"/>
                <w:sz w:val="18"/>
              </w:rPr>
            </w:pPr>
          </w:p>
        </w:tc>
      </w:tr>
      <w:tr>
        <w:trPr>
          <w:trHeight w:val="312" w:hRule="atLeast"/>
        </w:trPr>
        <w:tc>
          <w:tcPr>
            <w:tcW w:w="6408" w:type="dxa"/>
          </w:tcPr>
          <w:p>
            <w:pPr>
              <w:pStyle w:val="TableParagraph"/>
              <w:spacing w:before="40"/>
              <w:ind w:left="0" w:right="1788"/>
              <w:jc w:val="right"/>
              <w:rPr>
                <w:sz w:val="18"/>
              </w:rPr>
            </w:pPr>
            <w:r>
              <w:rPr>
                <w:sz w:val="18"/>
              </w:rPr>
              <w:t>我（的员工）的工作比基准工作要求的努力程度高很多</w:t>
            </w:r>
          </w:p>
        </w:tc>
        <w:tc>
          <w:tcPr>
            <w:tcW w:w="720" w:type="dxa"/>
          </w:tcPr>
          <w:p>
            <w:pPr>
              <w:pStyle w:val="TableParagraph"/>
              <w:spacing w:before="40"/>
              <w:rPr>
                <w:sz w:val="18"/>
              </w:rPr>
            </w:pPr>
            <w:r>
              <w:rPr>
                <w:sz w:val="18"/>
              </w:rPr>
              <w:t>□</w:t>
            </w:r>
          </w:p>
        </w:tc>
        <w:tc>
          <w:tcPr>
            <w:tcW w:w="1394" w:type="dxa"/>
          </w:tcPr>
          <w:p>
            <w:pPr>
              <w:pStyle w:val="TableParagraph"/>
              <w:spacing w:before="40"/>
              <w:rPr>
                <w:sz w:val="18"/>
              </w:rPr>
            </w:pPr>
            <w:r>
              <w:rPr>
                <w:sz w:val="18"/>
              </w:rPr>
              <w:t>+2%</w:t>
            </w:r>
          </w:p>
        </w:tc>
      </w:tr>
      <w:tr>
        <w:trPr>
          <w:trHeight w:val="312" w:hRule="atLeast"/>
        </w:trPr>
        <w:tc>
          <w:tcPr>
            <w:tcW w:w="6408" w:type="dxa"/>
          </w:tcPr>
          <w:p>
            <w:pPr>
              <w:pStyle w:val="TableParagraph"/>
              <w:spacing w:before="40"/>
              <w:ind w:left="0" w:right="1788"/>
              <w:jc w:val="right"/>
              <w:rPr>
                <w:sz w:val="18"/>
              </w:rPr>
            </w:pPr>
            <w:r>
              <w:rPr>
                <w:sz w:val="18"/>
              </w:rPr>
              <w:t>我（的员工）的工作比基准工作要求的努力程度高一些</w:t>
            </w:r>
          </w:p>
        </w:tc>
        <w:tc>
          <w:tcPr>
            <w:tcW w:w="720" w:type="dxa"/>
          </w:tcPr>
          <w:p>
            <w:pPr>
              <w:pStyle w:val="TableParagraph"/>
              <w:spacing w:before="40"/>
              <w:rPr>
                <w:sz w:val="18"/>
              </w:rPr>
            </w:pPr>
            <w:r>
              <w:rPr>
                <w:sz w:val="18"/>
              </w:rPr>
              <w:t>□</w:t>
            </w:r>
          </w:p>
        </w:tc>
        <w:tc>
          <w:tcPr>
            <w:tcW w:w="1394" w:type="dxa"/>
          </w:tcPr>
          <w:p>
            <w:pPr>
              <w:pStyle w:val="TableParagraph"/>
              <w:spacing w:before="40"/>
              <w:rPr>
                <w:sz w:val="18"/>
              </w:rPr>
            </w:pPr>
            <w:r>
              <w:rPr>
                <w:sz w:val="18"/>
              </w:rPr>
              <w:t>+1%</w:t>
            </w:r>
          </w:p>
        </w:tc>
      </w:tr>
      <w:tr>
        <w:trPr>
          <w:trHeight w:val="311" w:hRule="atLeast"/>
        </w:trPr>
        <w:tc>
          <w:tcPr>
            <w:tcW w:w="6408" w:type="dxa"/>
          </w:tcPr>
          <w:p>
            <w:pPr>
              <w:pStyle w:val="TableParagraph"/>
              <w:spacing w:before="42"/>
              <w:ind w:left="287"/>
              <w:rPr>
                <w:sz w:val="18"/>
              </w:rPr>
            </w:pPr>
            <w:r>
              <w:rPr>
                <w:sz w:val="18"/>
              </w:rPr>
              <w:t>我（的员工）的工作比基准工作要求的努力程度一样</w:t>
            </w:r>
          </w:p>
        </w:tc>
        <w:tc>
          <w:tcPr>
            <w:tcW w:w="720" w:type="dxa"/>
          </w:tcPr>
          <w:p>
            <w:pPr>
              <w:pStyle w:val="TableParagraph"/>
              <w:spacing w:before="42"/>
              <w:rPr>
                <w:sz w:val="18"/>
              </w:rPr>
            </w:pPr>
            <w:r>
              <w:rPr>
                <w:sz w:val="18"/>
              </w:rPr>
              <w:t>□</w:t>
            </w:r>
          </w:p>
        </w:tc>
        <w:tc>
          <w:tcPr>
            <w:tcW w:w="1394" w:type="dxa"/>
          </w:tcPr>
          <w:p>
            <w:pPr>
              <w:pStyle w:val="TableParagraph"/>
              <w:spacing w:before="42"/>
              <w:rPr>
                <w:sz w:val="18"/>
              </w:rPr>
            </w:pPr>
            <w:r>
              <w:rPr>
                <w:sz w:val="18"/>
              </w:rPr>
              <w:t>0%</w:t>
            </w:r>
          </w:p>
        </w:tc>
      </w:tr>
      <w:tr>
        <w:trPr>
          <w:trHeight w:val="312" w:hRule="atLeast"/>
        </w:trPr>
        <w:tc>
          <w:tcPr>
            <w:tcW w:w="6408" w:type="dxa"/>
          </w:tcPr>
          <w:p>
            <w:pPr>
              <w:pStyle w:val="TableParagraph"/>
              <w:spacing w:before="41"/>
              <w:ind w:left="0" w:right="1788"/>
              <w:jc w:val="right"/>
              <w:rPr>
                <w:sz w:val="18"/>
              </w:rPr>
            </w:pPr>
            <w:r>
              <w:rPr>
                <w:sz w:val="18"/>
              </w:rPr>
              <w:t>我（的员工）的工作比基准工作要求的努力程度低一些</w:t>
            </w:r>
          </w:p>
        </w:tc>
        <w:tc>
          <w:tcPr>
            <w:tcW w:w="720" w:type="dxa"/>
          </w:tcPr>
          <w:p>
            <w:pPr>
              <w:pStyle w:val="TableParagraph"/>
              <w:spacing w:before="41"/>
              <w:rPr>
                <w:sz w:val="18"/>
              </w:rPr>
            </w:pPr>
            <w:r>
              <w:rPr>
                <w:sz w:val="18"/>
              </w:rPr>
              <w:t>□</w:t>
            </w:r>
          </w:p>
        </w:tc>
        <w:tc>
          <w:tcPr>
            <w:tcW w:w="1394" w:type="dxa"/>
          </w:tcPr>
          <w:p>
            <w:pPr>
              <w:pStyle w:val="TableParagraph"/>
              <w:spacing w:before="41"/>
              <w:rPr>
                <w:sz w:val="18"/>
              </w:rPr>
            </w:pPr>
            <w:r>
              <w:rPr>
                <w:sz w:val="18"/>
              </w:rPr>
              <w:t>-1%</w:t>
            </w:r>
          </w:p>
        </w:tc>
      </w:tr>
      <w:tr>
        <w:trPr>
          <w:trHeight w:val="312" w:hRule="atLeast"/>
        </w:trPr>
        <w:tc>
          <w:tcPr>
            <w:tcW w:w="6408" w:type="dxa"/>
          </w:tcPr>
          <w:p>
            <w:pPr>
              <w:pStyle w:val="TableParagraph"/>
              <w:spacing w:before="41"/>
              <w:ind w:left="0" w:right="1788"/>
              <w:jc w:val="right"/>
              <w:rPr>
                <w:sz w:val="18"/>
              </w:rPr>
            </w:pPr>
            <w:r>
              <w:rPr>
                <w:sz w:val="18"/>
              </w:rPr>
              <w:t>我（的员工）的工作比基准工作要求的努力程度低很多</w:t>
            </w:r>
          </w:p>
        </w:tc>
        <w:tc>
          <w:tcPr>
            <w:tcW w:w="720" w:type="dxa"/>
          </w:tcPr>
          <w:p>
            <w:pPr>
              <w:pStyle w:val="TableParagraph"/>
              <w:spacing w:before="41"/>
              <w:rPr>
                <w:sz w:val="18"/>
              </w:rPr>
            </w:pPr>
            <w:r>
              <w:rPr>
                <w:sz w:val="18"/>
              </w:rPr>
              <w:t>□</w:t>
            </w:r>
          </w:p>
        </w:tc>
        <w:tc>
          <w:tcPr>
            <w:tcW w:w="1394" w:type="dxa"/>
          </w:tcPr>
          <w:p>
            <w:pPr>
              <w:pStyle w:val="TableParagraph"/>
              <w:spacing w:before="41"/>
              <w:rPr>
                <w:sz w:val="18"/>
              </w:rPr>
            </w:pPr>
            <w:r>
              <w:rPr>
                <w:sz w:val="18"/>
              </w:rPr>
              <w:t>-2%</w:t>
            </w:r>
          </w:p>
        </w:tc>
      </w:tr>
      <w:tr>
        <w:trPr>
          <w:trHeight w:val="312" w:hRule="atLeast"/>
        </w:trPr>
        <w:tc>
          <w:tcPr>
            <w:tcW w:w="6408" w:type="dxa"/>
          </w:tcPr>
          <w:p>
            <w:pPr>
              <w:pStyle w:val="TableParagraph"/>
              <w:spacing w:before="41"/>
              <w:rPr>
                <w:sz w:val="18"/>
              </w:rPr>
            </w:pPr>
            <w:r>
              <w:rPr>
                <w:sz w:val="18"/>
              </w:rPr>
              <w:t>责任（在最准确的叙述后面打钩）</w:t>
            </w:r>
          </w:p>
        </w:tc>
        <w:tc>
          <w:tcPr>
            <w:tcW w:w="720" w:type="dxa"/>
          </w:tcPr>
          <w:p>
            <w:pPr>
              <w:pStyle w:val="TableParagraph"/>
              <w:ind w:left="0"/>
              <w:rPr>
                <w:rFonts w:ascii="Times New Roman"/>
                <w:sz w:val="18"/>
              </w:rPr>
            </w:pPr>
          </w:p>
        </w:tc>
        <w:tc>
          <w:tcPr>
            <w:tcW w:w="1394" w:type="dxa"/>
          </w:tcPr>
          <w:p>
            <w:pPr>
              <w:pStyle w:val="TableParagraph"/>
              <w:ind w:left="0"/>
              <w:rPr>
                <w:rFonts w:ascii="Times New Roman"/>
                <w:sz w:val="18"/>
              </w:rPr>
            </w:pPr>
          </w:p>
        </w:tc>
      </w:tr>
      <w:tr>
        <w:trPr>
          <w:trHeight w:val="312" w:hRule="atLeast"/>
        </w:trPr>
        <w:tc>
          <w:tcPr>
            <w:tcW w:w="6408" w:type="dxa"/>
          </w:tcPr>
          <w:p>
            <w:pPr>
              <w:pStyle w:val="TableParagraph"/>
              <w:spacing w:before="40"/>
              <w:ind w:left="287"/>
              <w:rPr>
                <w:sz w:val="18"/>
              </w:rPr>
            </w:pPr>
            <w:r>
              <w:rPr>
                <w:sz w:val="18"/>
              </w:rPr>
              <w:t>我（的员工）的工作比基准工作要求的责任高很多</w:t>
            </w:r>
          </w:p>
        </w:tc>
        <w:tc>
          <w:tcPr>
            <w:tcW w:w="720" w:type="dxa"/>
          </w:tcPr>
          <w:p>
            <w:pPr>
              <w:pStyle w:val="TableParagraph"/>
              <w:spacing w:before="40"/>
              <w:rPr>
                <w:sz w:val="18"/>
              </w:rPr>
            </w:pPr>
            <w:r>
              <w:rPr>
                <w:sz w:val="18"/>
              </w:rPr>
              <w:t>□</w:t>
            </w:r>
          </w:p>
        </w:tc>
        <w:tc>
          <w:tcPr>
            <w:tcW w:w="1394" w:type="dxa"/>
          </w:tcPr>
          <w:p>
            <w:pPr>
              <w:pStyle w:val="TableParagraph"/>
              <w:spacing w:before="40"/>
              <w:rPr>
                <w:sz w:val="18"/>
              </w:rPr>
            </w:pPr>
            <w:r>
              <w:rPr>
                <w:sz w:val="18"/>
              </w:rPr>
              <w:t>+4%</w:t>
            </w:r>
          </w:p>
        </w:tc>
      </w:tr>
      <w:tr>
        <w:trPr>
          <w:trHeight w:val="310" w:hRule="atLeast"/>
        </w:trPr>
        <w:tc>
          <w:tcPr>
            <w:tcW w:w="6408" w:type="dxa"/>
          </w:tcPr>
          <w:p>
            <w:pPr>
              <w:pStyle w:val="TableParagraph"/>
              <w:spacing w:before="40"/>
              <w:ind w:left="287"/>
              <w:rPr>
                <w:sz w:val="18"/>
              </w:rPr>
            </w:pPr>
            <w:r>
              <w:rPr>
                <w:sz w:val="18"/>
              </w:rPr>
              <w:t>我（的员工）的工作比基准工作要求的责任高一些</w:t>
            </w:r>
          </w:p>
        </w:tc>
        <w:tc>
          <w:tcPr>
            <w:tcW w:w="720" w:type="dxa"/>
          </w:tcPr>
          <w:p>
            <w:pPr>
              <w:pStyle w:val="TableParagraph"/>
              <w:spacing w:before="40"/>
              <w:rPr>
                <w:sz w:val="18"/>
              </w:rPr>
            </w:pPr>
            <w:r>
              <w:rPr>
                <w:sz w:val="18"/>
              </w:rPr>
              <w:t>□</w:t>
            </w:r>
          </w:p>
        </w:tc>
        <w:tc>
          <w:tcPr>
            <w:tcW w:w="1394" w:type="dxa"/>
          </w:tcPr>
          <w:p>
            <w:pPr>
              <w:pStyle w:val="TableParagraph"/>
              <w:spacing w:before="40"/>
              <w:rPr>
                <w:sz w:val="18"/>
              </w:rPr>
            </w:pPr>
            <w:r>
              <w:rPr>
                <w:sz w:val="18"/>
              </w:rPr>
              <w:t>+2%</w:t>
            </w:r>
          </w:p>
        </w:tc>
      </w:tr>
    </w:tbl>
    <w:p>
      <w:pPr>
        <w:pStyle w:val="BodyText"/>
        <w:spacing w:before="12"/>
        <w:ind w:left="0"/>
        <w:rPr>
          <w:sz w:val="22"/>
        </w:rPr>
      </w:pPr>
      <w:r>
        <w:rPr/>
        <w:pict>
          <v:line style="position:absolute;mso-position-horizontal-relative:page;mso-position-vertical-relative:paragraph;z-index:-251657216;mso-wrap-distance-left:0;mso-wrap-distance-right:0" from="90pt,16.670pt" to="234pt,16.670pt" stroked="true" strokeweight="0pt" strokecolor="#000000">
            <v:stroke dashstyle="solid"/>
            <w10:wrap type="topAndBottom"/>
          </v:line>
        </w:pict>
      </w:r>
    </w:p>
    <w:p>
      <w:pPr>
        <w:spacing w:after="0"/>
        <w:rPr>
          <w:sz w:val="22"/>
        </w:rPr>
        <w:sectPr>
          <w:pgSz w:w="11910" w:h="16840"/>
          <w:pgMar w:header="852" w:footer="1900" w:top="1820" w:bottom="2100" w:left="1580" w:right="1580"/>
        </w:sectPr>
      </w:pPr>
    </w:p>
    <w:p>
      <w:pPr>
        <w:pStyle w:val="BodyText"/>
        <w:spacing w:before="3"/>
        <w:ind w:left="0"/>
        <w:rPr>
          <w:sz w:val="5"/>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08"/>
        <w:gridCol w:w="720"/>
        <w:gridCol w:w="1394"/>
      </w:tblGrid>
      <w:tr>
        <w:trPr>
          <w:trHeight w:val="312" w:hRule="atLeast"/>
        </w:trPr>
        <w:tc>
          <w:tcPr>
            <w:tcW w:w="6408" w:type="dxa"/>
          </w:tcPr>
          <w:p>
            <w:pPr>
              <w:pStyle w:val="TableParagraph"/>
              <w:spacing w:before="40"/>
              <w:ind w:left="287"/>
              <w:rPr>
                <w:sz w:val="18"/>
              </w:rPr>
            </w:pPr>
            <w:r>
              <w:rPr>
                <w:sz w:val="18"/>
              </w:rPr>
              <w:t>我（的员工）的工作比基准工作要求的责任一样</w:t>
            </w:r>
          </w:p>
        </w:tc>
        <w:tc>
          <w:tcPr>
            <w:tcW w:w="720" w:type="dxa"/>
          </w:tcPr>
          <w:p>
            <w:pPr>
              <w:pStyle w:val="TableParagraph"/>
              <w:spacing w:before="40"/>
              <w:rPr>
                <w:sz w:val="18"/>
              </w:rPr>
            </w:pPr>
            <w:r>
              <w:rPr>
                <w:sz w:val="18"/>
              </w:rPr>
              <w:t>□</w:t>
            </w:r>
          </w:p>
        </w:tc>
        <w:tc>
          <w:tcPr>
            <w:tcW w:w="1394" w:type="dxa"/>
          </w:tcPr>
          <w:p>
            <w:pPr>
              <w:pStyle w:val="TableParagraph"/>
              <w:spacing w:before="40"/>
              <w:rPr>
                <w:sz w:val="18"/>
              </w:rPr>
            </w:pPr>
            <w:r>
              <w:rPr>
                <w:sz w:val="18"/>
              </w:rPr>
              <w:t>0%</w:t>
            </w:r>
          </w:p>
        </w:tc>
      </w:tr>
      <w:tr>
        <w:trPr>
          <w:trHeight w:val="312" w:hRule="atLeast"/>
        </w:trPr>
        <w:tc>
          <w:tcPr>
            <w:tcW w:w="6408" w:type="dxa"/>
          </w:tcPr>
          <w:p>
            <w:pPr>
              <w:pStyle w:val="TableParagraph"/>
              <w:spacing w:before="42"/>
              <w:ind w:left="287"/>
              <w:rPr>
                <w:sz w:val="18"/>
              </w:rPr>
            </w:pPr>
            <w:r>
              <w:rPr>
                <w:sz w:val="18"/>
              </w:rPr>
              <w:t>我（的员工）的工作比基准工作要求的责任低一些</w:t>
            </w:r>
          </w:p>
        </w:tc>
        <w:tc>
          <w:tcPr>
            <w:tcW w:w="720" w:type="dxa"/>
          </w:tcPr>
          <w:p>
            <w:pPr>
              <w:pStyle w:val="TableParagraph"/>
              <w:spacing w:before="42"/>
              <w:rPr>
                <w:sz w:val="18"/>
              </w:rPr>
            </w:pPr>
            <w:r>
              <w:rPr>
                <w:sz w:val="18"/>
              </w:rPr>
              <w:t>□</w:t>
            </w:r>
          </w:p>
        </w:tc>
        <w:tc>
          <w:tcPr>
            <w:tcW w:w="1394" w:type="dxa"/>
          </w:tcPr>
          <w:p>
            <w:pPr>
              <w:pStyle w:val="TableParagraph"/>
              <w:spacing w:before="42"/>
              <w:rPr>
                <w:sz w:val="18"/>
              </w:rPr>
            </w:pPr>
            <w:r>
              <w:rPr>
                <w:sz w:val="18"/>
              </w:rPr>
              <w:t>-2%</w:t>
            </w:r>
          </w:p>
        </w:tc>
      </w:tr>
      <w:tr>
        <w:trPr>
          <w:trHeight w:val="311" w:hRule="atLeast"/>
        </w:trPr>
        <w:tc>
          <w:tcPr>
            <w:tcW w:w="6408" w:type="dxa"/>
          </w:tcPr>
          <w:p>
            <w:pPr>
              <w:pStyle w:val="TableParagraph"/>
              <w:spacing w:before="41"/>
              <w:ind w:left="287"/>
              <w:rPr>
                <w:sz w:val="18"/>
              </w:rPr>
            </w:pPr>
            <w:r>
              <w:rPr>
                <w:sz w:val="18"/>
              </w:rPr>
              <w:t>我（的员工）的工作比基准工作要求的责任低很多</w:t>
            </w:r>
          </w:p>
        </w:tc>
        <w:tc>
          <w:tcPr>
            <w:tcW w:w="720" w:type="dxa"/>
          </w:tcPr>
          <w:p>
            <w:pPr>
              <w:pStyle w:val="TableParagraph"/>
              <w:spacing w:before="41"/>
              <w:rPr>
                <w:sz w:val="18"/>
              </w:rPr>
            </w:pPr>
            <w:r>
              <w:rPr>
                <w:sz w:val="18"/>
              </w:rPr>
              <w:t>□</w:t>
            </w:r>
          </w:p>
        </w:tc>
        <w:tc>
          <w:tcPr>
            <w:tcW w:w="1394" w:type="dxa"/>
          </w:tcPr>
          <w:p>
            <w:pPr>
              <w:pStyle w:val="TableParagraph"/>
              <w:spacing w:before="41"/>
              <w:rPr>
                <w:sz w:val="18"/>
              </w:rPr>
            </w:pPr>
            <w:r>
              <w:rPr>
                <w:sz w:val="18"/>
              </w:rPr>
              <w:t>-4%</w:t>
            </w:r>
          </w:p>
        </w:tc>
      </w:tr>
      <w:tr>
        <w:trPr>
          <w:trHeight w:val="624" w:hRule="atLeast"/>
        </w:trPr>
        <w:tc>
          <w:tcPr>
            <w:tcW w:w="8522" w:type="dxa"/>
            <w:gridSpan w:val="3"/>
          </w:tcPr>
          <w:p>
            <w:pPr>
              <w:pStyle w:val="TableParagraph"/>
              <w:spacing w:before="41"/>
              <w:rPr>
                <w:sz w:val="18"/>
              </w:rPr>
            </w:pPr>
            <w:r>
              <w:rPr>
                <w:sz w:val="18"/>
              </w:rPr>
              <w:t>工资调整的计算方法：把三个打钩的项目的百分比相加，结果很可能在 10%和-10% 之间。 工资的调整，</w:t>
            </w:r>
          </w:p>
          <w:p>
            <w:pPr>
              <w:pStyle w:val="TableParagraph"/>
              <w:spacing w:before="81"/>
              <w:rPr>
                <w:sz w:val="18"/>
              </w:rPr>
            </w:pPr>
            <w:r>
              <w:rPr>
                <w:sz w:val="18"/>
              </w:rPr>
              <w:t>例如，0%意味工资不需要调整；+3%意味工资应该增加 3%，-3%意味工资应该降低 3%。</w:t>
            </w:r>
          </w:p>
        </w:tc>
      </w:tr>
    </w:tbl>
    <w:p>
      <w:pPr>
        <w:pStyle w:val="BodyText"/>
        <w:spacing w:before="47"/>
        <w:ind w:left="640"/>
      </w:pPr>
      <w:r>
        <w:rPr/>
        <w:t>（四） 设计薪酬调查问卷</w:t>
      </w:r>
    </w:p>
    <w:p>
      <w:pPr>
        <w:pStyle w:val="BodyText"/>
        <w:spacing w:line="285" w:lineRule="auto" w:before="50"/>
        <w:ind w:right="114" w:firstLine="420"/>
      </w:pPr>
      <w:r>
        <w:rPr>
          <w:spacing w:val="-4"/>
        </w:rPr>
        <w:t>多数的薪酬专业人员是采取问卷调查的形式来进行薪酬调查的。薪酬调查问卷除了要涵</w:t>
      </w:r>
      <w:r>
        <w:rPr>
          <w:spacing w:val="-14"/>
          <w:w w:val="95"/>
        </w:rPr>
        <w:t>盖外在薪酬的主要内容外，还要涉及一些有关企业基本情况的内容，如员工人数、产值利润、   </w:t>
      </w:r>
      <w:r>
        <w:rPr>
          <w:spacing w:val="-15"/>
        </w:rPr>
        <w:t>行业以及薪酬增长率、员工的流失率等，这些都是与薪酬水平密切相关的内容，在调查中应</w:t>
      </w:r>
      <w:r>
        <w:rPr>
          <w:spacing w:val="-23"/>
        </w:rPr>
        <w:t>该加以考虑。表 </w:t>
      </w:r>
      <w:r>
        <w:rPr/>
        <w:t>6-2</w:t>
      </w:r>
      <w:r>
        <w:rPr>
          <w:spacing w:val="-11"/>
        </w:rPr>
        <w:t> 是某企业进行薪酬调查的样例，它的目的是了解总经理办公室主任职位的薪酬水平。</w:t>
      </w:r>
    </w:p>
    <w:p>
      <w:pPr>
        <w:spacing w:before="30" w:after="13"/>
        <w:ind w:left="2910" w:right="0" w:firstLine="0"/>
        <w:jc w:val="left"/>
        <w:rPr>
          <w:b/>
          <w:sz w:val="18"/>
        </w:rPr>
      </w:pPr>
      <w:r>
        <w:rPr>
          <w:b/>
          <w:sz w:val="18"/>
        </w:rPr>
        <w:t>表 6-2 某企业进行薪酬调查问卷（样例）</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98"/>
        <w:gridCol w:w="2091"/>
        <w:gridCol w:w="842"/>
        <w:gridCol w:w="816"/>
        <w:gridCol w:w="1693"/>
        <w:gridCol w:w="842"/>
        <w:gridCol w:w="840"/>
      </w:tblGrid>
      <w:tr>
        <w:trPr>
          <w:trHeight w:val="936" w:hRule="atLeast"/>
        </w:trPr>
        <w:tc>
          <w:tcPr>
            <w:tcW w:w="3489" w:type="dxa"/>
            <w:gridSpan w:val="2"/>
            <w:tcBorders>
              <w:right w:val="nil"/>
            </w:tcBorders>
          </w:tcPr>
          <w:p>
            <w:pPr>
              <w:pStyle w:val="TableParagraph"/>
              <w:spacing w:line="324" w:lineRule="auto" w:before="42"/>
              <w:ind w:right="1394"/>
              <w:rPr>
                <w:sz w:val="18"/>
              </w:rPr>
            </w:pPr>
            <w:r>
              <w:rPr>
                <w:sz w:val="18"/>
              </w:rPr>
              <w:t>职位：总经理办公室主任调查企业名称：</w:t>
            </w:r>
          </w:p>
          <w:p>
            <w:pPr>
              <w:pStyle w:val="TableParagraph"/>
              <w:spacing w:before="1"/>
              <w:rPr>
                <w:sz w:val="18"/>
              </w:rPr>
            </w:pPr>
            <w:r>
              <w:rPr>
                <w:sz w:val="18"/>
              </w:rPr>
              <w:t>数据完成人：</w:t>
            </w:r>
          </w:p>
        </w:tc>
        <w:tc>
          <w:tcPr>
            <w:tcW w:w="1658" w:type="dxa"/>
            <w:gridSpan w:val="2"/>
            <w:tcBorders>
              <w:left w:val="nil"/>
              <w:right w:val="nil"/>
            </w:tcBorders>
          </w:tcPr>
          <w:p>
            <w:pPr>
              <w:pStyle w:val="TableParagraph"/>
              <w:spacing w:before="5"/>
              <w:ind w:left="0"/>
              <w:rPr>
                <w:b/>
                <w:sz w:val="21"/>
              </w:rPr>
            </w:pPr>
          </w:p>
          <w:p>
            <w:pPr>
              <w:pStyle w:val="TableParagraph"/>
              <w:spacing w:line="310" w:lineRule="atLeast"/>
              <w:ind w:left="403" w:right="623" w:firstLine="88"/>
              <w:rPr>
                <w:sz w:val="18"/>
              </w:rPr>
            </w:pPr>
            <w:r>
              <w:rPr>
                <w:sz w:val="18"/>
              </w:rPr>
              <w:t>地址： 日期：</w:t>
            </w:r>
          </w:p>
        </w:tc>
        <w:tc>
          <w:tcPr>
            <w:tcW w:w="1693" w:type="dxa"/>
            <w:tcBorders>
              <w:left w:val="nil"/>
              <w:right w:val="nil"/>
            </w:tcBorders>
          </w:tcPr>
          <w:p>
            <w:pPr>
              <w:pStyle w:val="TableParagraph"/>
              <w:ind w:left="0"/>
              <w:rPr>
                <w:b/>
                <w:sz w:val="18"/>
              </w:rPr>
            </w:pPr>
          </w:p>
          <w:p>
            <w:pPr>
              <w:pStyle w:val="TableParagraph"/>
              <w:spacing w:before="123"/>
              <w:ind w:left="634"/>
              <w:rPr>
                <w:sz w:val="18"/>
              </w:rPr>
            </w:pPr>
            <w:r>
              <w:rPr>
                <w:sz w:val="18"/>
              </w:rPr>
              <w:t>行业：</w:t>
            </w:r>
          </w:p>
        </w:tc>
        <w:tc>
          <w:tcPr>
            <w:tcW w:w="842" w:type="dxa"/>
            <w:tcBorders>
              <w:left w:val="nil"/>
              <w:right w:val="nil"/>
            </w:tcBorders>
          </w:tcPr>
          <w:p>
            <w:pPr>
              <w:pStyle w:val="TableParagraph"/>
              <w:ind w:left="0"/>
              <w:rPr>
                <w:rFonts w:ascii="Times New Roman"/>
                <w:sz w:val="20"/>
              </w:rPr>
            </w:pPr>
          </w:p>
        </w:tc>
        <w:tc>
          <w:tcPr>
            <w:tcW w:w="840" w:type="dxa"/>
            <w:tcBorders>
              <w:left w:val="nil"/>
            </w:tcBorders>
          </w:tcPr>
          <w:p>
            <w:pPr>
              <w:pStyle w:val="TableParagraph"/>
              <w:ind w:left="0"/>
              <w:rPr>
                <w:rFonts w:ascii="Times New Roman"/>
                <w:sz w:val="20"/>
              </w:rPr>
            </w:pPr>
          </w:p>
        </w:tc>
      </w:tr>
      <w:tr>
        <w:trPr>
          <w:trHeight w:val="312" w:hRule="atLeast"/>
        </w:trPr>
        <w:tc>
          <w:tcPr>
            <w:tcW w:w="1398" w:type="dxa"/>
          </w:tcPr>
          <w:p>
            <w:pPr>
              <w:pStyle w:val="TableParagraph"/>
              <w:spacing w:before="41"/>
              <w:rPr>
                <w:sz w:val="18"/>
              </w:rPr>
            </w:pPr>
            <w:r>
              <w:rPr>
                <w:sz w:val="18"/>
              </w:rPr>
              <w:t>薪酬构成</w:t>
            </w:r>
          </w:p>
        </w:tc>
        <w:tc>
          <w:tcPr>
            <w:tcW w:w="2091" w:type="dxa"/>
          </w:tcPr>
          <w:p>
            <w:pPr>
              <w:pStyle w:val="TableParagraph"/>
              <w:spacing w:before="41"/>
              <w:ind w:left="106"/>
              <w:rPr>
                <w:sz w:val="18"/>
              </w:rPr>
            </w:pPr>
            <w:r>
              <w:rPr>
                <w:sz w:val="18"/>
              </w:rPr>
              <w:t>金额（元/年）</w:t>
            </w:r>
          </w:p>
        </w:tc>
        <w:tc>
          <w:tcPr>
            <w:tcW w:w="842" w:type="dxa"/>
          </w:tcPr>
          <w:p>
            <w:pPr>
              <w:pStyle w:val="TableParagraph"/>
              <w:spacing w:before="41"/>
              <w:ind w:left="108"/>
              <w:rPr>
                <w:sz w:val="18"/>
              </w:rPr>
            </w:pPr>
            <w:r>
              <w:rPr>
                <w:sz w:val="18"/>
              </w:rPr>
              <w:t>比例</w:t>
            </w:r>
          </w:p>
        </w:tc>
        <w:tc>
          <w:tcPr>
            <w:tcW w:w="2509" w:type="dxa"/>
            <w:gridSpan w:val="2"/>
          </w:tcPr>
          <w:p>
            <w:pPr>
              <w:pStyle w:val="TableParagraph"/>
              <w:spacing w:before="41"/>
              <w:ind w:left="468"/>
              <w:rPr>
                <w:sz w:val="18"/>
              </w:rPr>
            </w:pPr>
            <w:r>
              <w:rPr>
                <w:sz w:val="18"/>
              </w:rPr>
              <w:t>企业上一年度水平</w:t>
            </w:r>
          </w:p>
        </w:tc>
        <w:tc>
          <w:tcPr>
            <w:tcW w:w="842" w:type="dxa"/>
          </w:tcPr>
          <w:p>
            <w:pPr>
              <w:pStyle w:val="TableParagraph"/>
              <w:spacing w:before="41"/>
              <w:rPr>
                <w:sz w:val="18"/>
              </w:rPr>
            </w:pPr>
            <w:r>
              <w:rPr>
                <w:sz w:val="18"/>
              </w:rPr>
              <w:t>增幅</w:t>
            </w:r>
          </w:p>
        </w:tc>
        <w:tc>
          <w:tcPr>
            <w:tcW w:w="840" w:type="dxa"/>
          </w:tcPr>
          <w:p>
            <w:pPr>
              <w:pStyle w:val="TableParagraph"/>
              <w:spacing w:before="41"/>
              <w:ind w:left="108"/>
              <w:rPr>
                <w:sz w:val="18"/>
              </w:rPr>
            </w:pPr>
            <w:r>
              <w:rPr>
                <w:sz w:val="18"/>
              </w:rPr>
              <w:t>备注</w:t>
            </w:r>
          </w:p>
        </w:tc>
      </w:tr>
      <w:tr>
        <w:trPr>
          <w:trHeight w:val="311" w:hRule="atLeast"/>
        </w:trPr>
        <w:tc>
          <w:tcPr>
            <w:tcW w:w="1398" w:type="dxa"/>
          </w:tcPr>
          <w:p>
            <w:pPr>
              <w:pStyle w:val="TableParagraph"/>
              <w:spacing w:before="41"/>
              <w:rPr>
                <w:sz w:val="18"/>
              </w:rPr>
            </w:pPr>
            <w:r>
              <w:rPr>
                <w:sz w:val="18"/>
              </w:rPr>
              <w:t>基本工资</w:t>
            </w:r>
          </w:p>
        </w:tc>
        <w:tc>
          <w:tcPr>
            <w:tcW w:w="2091" w:type="dxa"/>
          </w:tcPr>
          <w:p>
            <w:pPr>
              <w:pStyle w:val="TableParagraph"/>
              <w:ind w:left="0"/>
              <w:rPr>
                <w:rFonts w:ascii="Times New Roman"/>
                <w:sz w:val="20"/>
              </w:rPr>
            </w:pPr>
          </w:p>
        </w:tc>
        <w:tc>
          <w:tcPr>
            <w:tcW w:w="842" w:type="dxa"/>
          </w:tcPr>
          <w:p>
            <w:pPr>
              <w:pStyle w:val="TableParagraph"/>
              <w:ind w:left="0"/>
              <w:rPr>
                <w:rFonts w:ascii="Times New Roman"/>
                <w:sz w:val="20"/>
              </w:rPr>
            </w:pPr>
          </w:p>
        </w:tc>
        <w:tc>
          <w:tcPr>
            <w:tcW w:w="2509" w:type="dxa"/>
            <w:gridSpan w:val="2"/>
          </w:tcPr>
          <w:p>
            <w:pPr>
              <w:pStyle w:val="TableParagraph"/>
              <w:ind w:left="0"/>
              <w:rPr>
                <w:rFonts w:ascii="Times New Roman"/>
                <w:sz w:val="20"/>
              </w:rPr>
            </w:pPr>
          </w:p>
        </w:tc>
        <w:tc>
          <w:tcPr>
            <w:tcW w:w="842" w:type="dxa"/>
          </w:tcPr>
          <w:p>
            <w:pPr>
              <w:pStyle w:val="TableParagraph"/>
              <w:ind w:left="0"/>
              <w:rPr>
                <w:rFonts w:ascii="Times New Roman"/>
                <w:sz w:val="20"/>
              </w:rPr>
            </w:pPr>
          </w:p>
        </w:tc>
        <w:tc>
          <w:tcPr>
            <w:tcW w:w="840" w:type="dxa"/>
          </w:tcPr>
          <w:p>
            <w:pPr>
              <w:pStyle w:val="TableParagraph"/>
              <w:ind w:left="0"/>
              <w:rPr>
                <w:rFonts w:ascii="Times New Roman"/>
                <w:sz w:val="20"/>
              </w:rPr>
            </w:pPr>
          </w:p>
        </w:tc>
      </w:tr>
      <w:tr>
        <w:trPr>
          <w:trHeight w:val="312" w:hRule="atLeast"/>
        </w:trPr>
        <w:tc>
          <w:tcPr>
            <w:tcW w:w="1398" w:type="dxa"/>
          </w:tcPr>
          <w:p>
            <w:pPr>
              <w:pStyle w:val="TableParagraph"/>
              <w:spacing w:before="40"/>
              <w:rPr>
                <w:sz w:val="18"/>
              </w:rPr>
            </w:pPr>
            <w:r>
              <w:rPr>
                <w:sz w:val="18"/>
              </w:rPr>
              <w:t>奖金</w:t>
            </w:r>
          </w:p>
        </w:tc>
        <w:tc>
          <w:tcPr>
            <w:tcW w:w="2091" w:type="dxa"/>
          </w:tcPr>
          <w:p>
            <w:pPr>
              <w:pStyle w:val="TableParagraph"/>
              <w:ind w:left="0"/>
              <w:rPr>
                <w:rFonts w:ascii="Times New Roman"/>
                <w:sz w:val="20"/>
              </w:rPr>
            </w:pPr>
          </w:p>
        </w:tc>
        <w:tc>
          <w:tcPr>
            <w:tcW w:w="842" w:type="dxa"/>
          </w:tcPr>
          <w:p>
            <w:pPr>
              <w:pStyle w:val="TableParagraph"/>
              <w:ind w:left="0"/>
              <w:rPr>
                <w:rFonts w:ascii="Times New Roman"/>
                <w:sz w:val="20"/>
              </w:rPr>
            </w:pPr>
          </w:p>
        </w:tc>
        <w:tc>
          <w:tcPr>
            <w:tcW w:w="2509" w:type="dxa"/>
            <w:gridSpan w:val="2"/>
          </w:tcPr>
          <w:p>
            <w:pPr>
              <w:pStyle w:val="TableParagraph"/>
              <w:ind w:left="0"/>
              <w:rPr>
                <w:rFonts w:ascii="Times New Roman"/>
                <w:sz w:val="20"/>
              </w:rPr>
            </w:pPr>
          </w:p>
        </w:tc>
        <w:tc>
          <w:tcPr>
            <w:tcW w:w="842" w:type="dxa"/>
          </w:tcPr>
          <w:p>
            <w:pPr>
              <w:pStyle w:val="TableParagraph"/>
              <w:ind w:left="0"/>
              <w:rPr>
                <w:rFonts w:ascii="Times New Roman"/>
                <w:sz w:val="20"/>
              </w:rPr>
            </w:pPr>
          </w:p>
        </w:tc>
        <w:tc>
          <w:tcPr>
            <w:tcW w:w="840" w:type="dxa"/>
          </w:tcPr>
          <w:p>
            <w:pPr>
              <w:pStyle w:val="TableParagraph"/>
              <w:ind w:left="0"/>
              <w:rPr>
                <w:rFonts w:ascii="Times New Roman"/>
                <w:sz w:val="20"/>
              </w:rPr>
            </w:pPr>
          </w:p>
        </w:tc>
      </w:tr>
      <w:tr>
        <w:trPr>
          <w:trHeight w:val="311" w:hRule="atLeast"/>
        </w:trPr>
        <w:tc>
          <w:tcPr>
            <w:tcW w:w="1398" w:type="dxa"/>
          </w:tcPr>
          <w:p>
            <w:pPr>
              <w:pStyle w:val="TableParagraph"/>
              <w:spacing w:before="40"/>
              <w:rPr>
                <w:sz w:val="18"/>
              </w:rPr>
            </w:pPr>
            <w:r>
              <w:rPr>
                <w:sz w:val="18"/>
              </w:rPr>
              <w:t>津贴</w:t>
            </w:r>
          </w:p>
        </w:tc>
        <w:tc>
          <w:tcPr>
            <w:tcW w:w="2091" w:type="dxa"/>
          </w:tcPr>
          <w:p>
            <w:pPr>
              <w:pStyle w:val="TableParagraph"/>
              <w:ind w:left="0"/>
              <w:rPr>
                <w:rFonts w:ascii="Times New Roman"/>
                <w:sz w:val="20"/>
              </w:rPr>
            </w:pPr>
          </w:p>
        </w:tc>
        <w:tc>
          <w:tcPr>
            <w:tcW w:w="842" w:type="dxa"/>
          </w:tcPr>
          <w:p>
            <w:pPr>
              <w:pStyle w:val="TableParagraph"/>
              <w:ind w:left="0"/>
              <w:rPr>
                <w:rFonts w:ascii="Times New Roman"/>
                <w:sz w:val="20"/>
              </w:rPr>
            </w:pPr>
          </w:p>
        </w:tc>
        <w:tc>
          <w:tcPr>
            <w:tcW w:w="2509" w:type="dxa"/>
            <w:gridSpan w:val="2"/>
          </w:tcPr>
          <w:p>
            <w:pPr>
              <w:pStyle w:val="TableParagraph"/>
              <w:ind w:left="0"/>
              <w:rPr>
                <w:rFonts w:ascii="Times New Roman"/>
                <w:sz w:val="20"/>
              </w:rPr>
            </w:pPr>
          </w:p>
        </w:tc>
        <w:tc>
          <w:tcPr>
            <w:tcW w:w="842" w:type="dxa"/>
          </w:tcPr>
          <w:p>
            <w:pPr>
              <w:pStyle w:val="TableParagraph"/>
              <w:ind w:left="0"/>
              <w:rPr>
                <w:rFonts w:ascii="Times New Roman"/>
                <w:sz w:val="20"/>
              </w:rPr>
            </w:pPr>
          </w:p>
        </w:tc>
        <w:tc>
          <w:tcPr>
            <w:tcW w:w="840" w:type="dxa"/>
          </w:tcPr>
          <w:p>
            <w:pPr>
              <w:pStyle w:val="TableParagraph"/>
              <w:ind w:left="0"/>
              <w:rPr>
                <w:rFonts w:ascii="Times New Roman"/>
                <w:sz w:val="20"/>
              </w:rPr>
            </w:pPr>
          </w:p>
        </w:tc>
      </w:tr>
      <w:tr>
        <w:trPr>
          <w:trHeight w:val="312" w:hRule="atLeast"/>
        </w:trPr>
        <w:tc>
          <w:tcPr>
            <w:tcW w:w="1398" w:type="dxa"/>
          </w:tcPr>
          <w:p>
            <w:pPr>
              <w:pStyle w:val="TableParagraph"/>
              <w:spacing w:before="40"/>
              <w:rPr>
                <w:sz w:val="18"/>
              </w:rPr>
            </w:pPr>
            <w:r>
              <w:rPr>
                <w:sz w:val="18"/>
              </w:rPr>
              <w:t>其它收入</w:t>
            </w:r>
          </w:p>
        </w:tc>
        <w:tc>
          <w:tcPr>
            <w:tcW w:w="2091" w:type="dxa"/>
          </w:tcPr>
          <w:p>
            <w:pPr>
              <w:pStyle w:val="TableParagraph"/>
              <w:ind w:left="0"/>
              <w:rPr>
                <w:rFonts w:ascii="Times New Roman"/>
                <w:sz w:val="20"/>
              </w:rPr>
            </w:pPr>
          </w:p>
        </w:tc>
        <w:tc>
          <w:tcPr>
            <w:tcW w:w="842" w:type="dxa"/>
          </w:tcPr>
          <w:p>
            <w:pPr>
              <w:pStyle w:val="TableParagraph"/>
              <w:ind w:left="0"/>
              <w:rPr>
                <w:rFonts w:ascii="Times New Roman"/>
                <w:sz w:val="20"/>
              </w:rPr>
            </w:pPr>
          </w:p>
        </w:tc>
        <w:tc>
          <w:tcPr>
            <w:tcW w:w="2509" w:type="dxa"/>
            <w:gridSpan w:val="2"/>
          </w:tcPr>
          <w:p>
            <w:pPr>
              <w:pStyle w:val="TableParagraph"/>
              <w:ind w:left="0"/>
              <w:rPr>
                <w:rFonts w:ascii="Times New Roman"/>
                <w:sz w:val="20"/>
              </w:rPr>
            </w:pPr>
          </w:p>
        </w:tc>
        <w:tc>
          <w:tcPr>
            <w:tcW w:w="842" w:type="dxa"/>
          </w:tcPr>
          <w:p>
            <w:pPr>
              <w:pStyle w:val="TableParagraph"/>
              <w:ind w:left="0"/>
              <w:rPr>
                <w:rFonts w:ascii="Times New Roman"/>
                <w:sz w:val="20"/>
              </w:rPr>
            </w:pPr>
          </w:p>
        </w:tc>
        <w:tc>
          <w:tcPr>
            <w:tcW w:w="840" w:type="dxa"/>
          </w:tcPr>
          <w:p>
            <w:pPr>
              <w:pStyle w:val="TableParagraph"/>
              <w:ind w:left="0"/>
              <w:rPr>
                <w:rFonts w:ascii="Times New Roman"/>
                <w:sz w:val="20"/>
              </w:rPr>
            </w:pPr>
          </w:p>
        </w:tc>
      </w:tr>
      <w:tr>
        <w:trPr>
          <w:trHeight w:val="312" w:hRule="atLeast"/>
        </w:trPr>
        <w:tc>
          <w:tcPr>
            <w:tcW w:w="1398" w:type="dxa"/>
          </w:tcPr>
          <w:p>
            <w:pPr>
              <w:pStyle w:val="TableParagraph"/>
              <w:spacing w:before="42"/>
              <w:rPr>
                <w:sz w:val="18"/>
              </w:rPr>
            </w:pPr>
            <w:r>
              <w:rPr>
                <w:sz w:val="18"/>
              </w:rPr>
              <w:t>合计</w:t>
            </w:r>
          </w:p>
        </w:tc>
        <w:tc>
          <w:tcPr>
            <w:tcW w:w="2091" w:type="dxa"/>
          </w:tcPr>
          <w:p>
            <w:pPr>
              <w:pStyle w:val="TableParagraph"/>
              <w:ind w:left="0"/>
              <w:rPr>
                <w:rFonts w:ascii="Times New Roman"/>
                <w:sz w:val="20"/>
              </w:rPr>
            </w:pPr>
          </w:p>
        </w:tc>
        <w:tc>
          <w:tcPr>
            <w:tcW w:w="842" w:type="dxa"/>
          </w:tcPr>
          <w:p>
            <w:pPr>
              <w:pStyle w:val="TableParagraph"/>
              <w:ind w:left="0"/>
              <w:rPr>
                <w:rFonts w:ascii="Times New Roman"/>
                <w:sz w:val="20"/>
              </w:rPr>
            </w:pPr>
          </w:p>
        </w:tc>
        <w:tc>
          <w:tcPr>
            <w:tcW w:w="2509" w:type="dxa"/>
            <w:gridSpan w:val="2"/>
          </w:tcPr>
          <w:p>
            <w:pPr>
              <w:pStyle w:val="TableParagraph"/>
              <w:ind w:left="0"/>
              <w:rPr>
                <w:rFonts w:ascii="Times New Roman"/>
                <w:sz w:val="20"/>
              </w:rPr>
            </w:pPr>
          </w:p>
        </w:tc>
        <w:tc>
          <w:tcPr>
            <w:tcW w:w="842" w:type="dxa"/>
          </w:tcPr>
          <w:p>
            <w:pPr>
              <w:pStyle w:val="TableParagraph"/>
              <w:ind w:left="0"/>
              <w:rPr>
                <w:rFonts w:ascii="Times New Roman"/>
                <w:sz w:val="20"/>
              </w:rPr>
            </w:pPr>
          </w:p>
        </w:tc>
        <w:tc>
          <w:tcPr>
            <w:tcW w:w="840" w:type="dxa"/>
          </w:tcPr>
          <w:p>
            <w:pPr>
              <w:pStyle w:val="TableParagraph"/>
              <w:ind w:left="0"/>
              <w:rPr>
                <w:rFonts w:ascii="Times New Roman"/>
                <w:sz w:val="20"/>
              </w:rPr>
            </w:pPr>
          </w:p>
        </w:tc>
      </w:tr>
    </w:tbl>
    <w:p>
      <w:pPr>
        <w:pStyle w:val="BodyText"/>
        <w:spacing w:before="93"/>
        <w:ind w:left="640"/>
      </w:pPr>
      <w:r>
        <w:rPr/>
        <w:t>（五）寄发并收集调查问卷</w:t>
      </w:r>
    </w:p>
    <w:p>
      <w:pPr>
        <w:pStyle w:val="BodyText"/>
        <w:spacing w:line="338" w:lineRule="auto" w:before="113"/>
        <w:ind w:right="219" w:firstLine="420"/>
        <w:jc w:val="both"/>
      </w:pPr>
      <w:r>
        <w:rPr>
          <w:spacing w:val="-7"/>
          <w:w w:val="95"/>
        </w:rPr>
        <w:t>薪酬涉及企业的机密，很多企业实行保密的工资制度，企业与员工之间也有有关薪酬保   </w:t>
      </w:r>
      <w:r>
        <w:rPr>
          <w:spacing w:val="-10"/>
          <w:w w:val="95"/>
        </w:rPr>
        <w:t>密的约定，因此在寄发问卷时首先要做好与企业总经理或者高层管理人员的沟通工作。这里   </w:t>
      </w:r>
      <w:r>
        <w:rPr>
          <w:spacing w:val="-14"/>
          <w:w w:val="95"/>
        </w:rPr>
        <w:t>主要有两种合作方式，一种是将被调查者作为成员之一纳入到合作队伍，被调查者分摊一定   </w:t>
      </w:r>
      <w:r>
        <w:rPr>
          <w:spacing w:val="-12"/>
          <w:w w:val="95"/>
        </w:rPr>
        <w:t>得费用，调查结束后，被调查者可以获得专项调查报告；另外一种方式是向被调查者提供优   </w:t>
      </w:r>
      <w:r>
        <w:rPr>
          <w:spacing w:val="-15"/>
          <w:w w:val="95"/>
        </w:rPr>
        <w:t>惠的综合性调查报告，优惠率根据调查的规模确定。这两种合作方式都需要与企业签订合作   </w:t>
      </w:r>
      <w:r>
        <w:rPr>
          <w:spacing w:val="-15"/>
        </w:rPr>
        <w:t>协议，并约定保密条款。</w:t>
      </w:r>
    </w:p>
    <w:p>
      <w:pPr>
        <w:pStyle w:val="BodyText"/>
        <w:spacing w:line="338" w:lineRule="auto" w:before="3"/>
        <w:ind w:right="114" w:firstLine="420"/>
      </w:pPr>
      <w:r>
        <w:rPr>
          <w:spacing w:val="-5"/>
        </w:rPr>
        <w:t>做好与被调查企业的沟通与协调之后，向企业寄发问卷也要讲究方式，一是直接向总经</w:t>
      </w:r>
      <w:r>
        <w:rPr>
          <w:spacing w:val="-10"/>
        </w:rPr>
        <w:t>理寄发，规模较大的企业可向人力资源部经理寄发，这样能够保证回收率；二是能够直接上</w:t>
      </w:r>
      <w:r>
        <w:rPr>
          <w:spacing w:val="-18"/>
          <w:w w:val="95"/>
        </w:rPr>
        <w:t>门发送问卷的最好直接上门，不能够直接上门的可以采取邮寄、传真、电子邮件等方式进行；   </w:t>
      </w:r>
      <w:r>
        <w:rPr>
          <w:spacing w:val="-20"/>
        </w:rPr>
        <w:t>三是问卷收集后要进行及时的处理核对，以便及时与填答者进行沟通与修改，对于有疑问的</w:t>
      </w:r>
      <w:r>
        <w:rPr>
          <w:spacing w:val="-12"/>
        </w:rPr>
        <w:t>问卷，一定要对方做出解释并记录下来，以便日后翻阅。另外在被调查单位进行填答的过程中应该做好解释和指导工作，以便取得第一手资料。</w:t>
      </w:r>
    </w:p>
    <w:p>
      <w:pPr>
        <w:pStyle w:val="BodyText"/>
        <w:spacing w:before="4"/>
        <w:ind w:left="640"/>
      </w:pPr>
      <w:r>
        <w:rPr/>
        <w:t>（六）统计和分析调查结果</w:t>
      </w:r>
    </w:p>
    <w:p>
      <w:pPr>
        <w:pStyle w:val="BodyText"/>
        <w:spacing w:line="380" w:lineRule="atLeast"/>
        <w:ind w:right="219" w:firstLine="420"/>
      </w:pPr>
      <w:r>
        <w:rPr>
          <w:spacing w:val="-5"/>
          <w:w w:val="95"/>
        </w:rPr>
        <w:t>薪酬调查的时效性是一个很重要的指标。因此问卷收上来后，就要立即进行整理，及时   </w:t>
      </w:r>
      <w:r>
        <w:rPr>
          <w:spacing w:val="-10"/>
          <w:w w:val="95"/>
        </w:rPr>
        <w:t>进行统计分析。薪酬专业人员应该知道薪酬调查资料的三个特征：第一，薪酬调查的信息量</w:t>
      </w:r>
    </w:p>
    <w:p>
      <w:pPr>
        <w:spacing w:after="0" w:line="380" w:lineRule="atLeast"/>
        <w:sectPr>
          <w:pgSz w:w="11910" w:h="16840"/>
          <w:pgMar w:header="852" w:footer="1900" w:top="1820" w:bottom="2080" w:left="1580" w:right="1580"/>
        </w:sectPr>
      </w:pPr>
    </w:p>
    <w:p>
      <w:pPr>
        <w:pStyle w:val="BodyText"/>
        <w:spacing w:line="338" w:lineRule="auto" w:before="161"/>
        <w:ind w:right="219"/>
      </w:pPr>
      <w:r>
        <w:rPr>
          <w:spacing w:val="-9"/>
          <w:w w:val="95"/>
        </w:rPr>
        <w:t>非常大，薪酬专业人员应该有效的借助计算机来进行数据的分析和处理；第二薪酬调查所获   </w:t>
      </w:r>
      <w:r>
        <w:rPr>
          <w:spacing w:val="-9"/>
        </w:rPr>
        <w:t>得的资料都是过时的，因为在收集资料和雇主根据调查资料实施薪酬方案之间有一段时间</w:t>
      </w:r>
      <w:r>
        <w:rPr>
          <w:spacing w:val="-10"/>
          <w:w w:val="95"/>
        </w:rPr>
        <w:t>差；第三薪酬专业人员必须把外部的调查资料和其内部工作结构</w:t>
      </w:r>
      <w:r>
        <w:rPr>
          <w:w w:val="95"/>
        </w:rPr>
        <w:t>（以岗位价值评估的分数为   </w:t>
      </w:r>
      <w:r>
        <w:rPr/>
        <w:t>基础）。下面我们将以一个职位为例来说明数据的处理和统计。</w:t>
      </w:r>
    </w:p>
    <w:p>
      <w:pPr>
        <w:pStyle w:val="BodyText"/>
        <w:spacing w:before="2"/>
        <w:ind w:left="640"/>
        <w:jc w:val="both"/>
      </w:pPr>
      <w:r>
        <w:rPr/>
        <w:t>表 6-3 是一个对 35 个以学历为基础的工程师的工资调查中的工资信息样本，一级工程</w:t>
      </w:r>
    </w:p>
    <w:p>
      <w:pPr>
        <w:pStyle w:val="BodyText"/>
        <w:spacing w:line="380" w:lineRule="atLeast" w:before="2"/>
        <w:ind w:right="219"/>
        <w:jc w:val="both"/>
      </w:pPr>
      <w:r>
        <w:rPr>
          <w:spacing w:val="-9"/>
        </w:rPr>
        <w:t>师的学历为学士，二级工程师的学历为硕士，三级工程师的学历为博士。广州市的 </w:t>
      </w:r>
      <w:r>
        <w:rPr/>
        <w:t>7</w:t>
      </w:r>
      <w:r>
        <w:rPr>
          <w:spacing w:val="-17"/>
        </w:rPr>
        <w:t> 家公司参加了该调查，大多数公司的每一级别的工作责任人都不止一个人。如 </w:t>
      </w:r>
      <w:r>
        <w:rPr/>
        <w:t>A</w:t>
      </w:r>
      <w:r>
        <w:rPr>
          <w:spacing w:val="-24"/>
        </w:rPr>
        <w:t> 公司有 </w:t>
      </w:r>
      <w:r>
        <w:rPr/>
        <w:t>3</w:t>
      </w:r>
      <w:r>
        <w:rPr>
          <w:spacing w:val="-12"/>
        </w:rPr>
        <w:t> 名一级工程师，3</w:t>
      </w:r>
      <w:r>
        <w:rPr>
          <w:spacing w:val="-13"/>
        </w:rPr>
        <w:t> 名二级工程师和 </w:t>
      </w:r>
      <w:r>
        <w:rPr/>
        <w:t>2</w:t>
      </w:r>
      <w:r>
        <w:rPr>
          <w:spacing w:val="-8"/>
        </w:rPr>
        <w:t> 名三级工程师。</w:t>
      </w:r>
    </w:p>
    <w:p>
      <w:pPr>
        <w:spacing w:line="228" w:lineRule="exact" w:before="0"/>
        <w:ind w:left="2279" w:right="0" w:firstLine="0"/>
        <w:jc w:val="both"/>
        <w:rPr>
          <w:b/>
          <w:sz w:val="18"/>
        </w:rPr>
      </w:pPr>
      <w:r>
        <w:rPr>
          <w:b/>
          <w:sz w:val="18"/>
        </w:rPr>
        <w:t>表 6-3 广州市工程师学历工资的薪酬调查的原始数据</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3060"/>
        <w:gridCol w:w="3194"/>
      </w:tblGrid>
      <w:tr>
        <w:trPr>
          <w:trHeight w:val="200" w:hRule="atLeast"/>
        </w:trPr>
        <w:tc>
          <w:tcPr>
            <w:tcW w:w="2268" w:type="dxa"/>
          </w:tcPr>
          <w:p>
            <w:pPr>
              <w:pStyle w:val="TableParagraph"/>
              <w:spacing w:line="180" w:lineRule="exact"/>
              <w:ind w:left="932" w:right="925"/>
              <w:jc w:val="center"/>
              <w:rPr>
                <w:sz w:val="18"/>
              </w:rPr>
            </w:pPr>
            <w:r>
              <w:rPr>
                <w:sz w:val="18"/>
              </w:rPr>
              <w:t>公司</w:t>
            </w:r>
          </w:p>
        </w:tc>
        <w:tc>
          <w:tcPr>
            <w:tcW w:w="3060" w:type="dxa"/>
          </w:tcPr>
          <w:p>
            <w:pPr>
              <w:pStyle w:val="TableParagraph"/>
              <w:spacing w:line="180" w:lineRule="exact"/>
              <w:ind w:left="1057" w:right="1050"/>
              <w:jc w:val="center"/>
              <w:rPr>
                <w:sz w:val="18"/>
              </w:rPr>
            </w:pPr>
            <w:r>
              <w:rPr>
                <w:sz w:val="18"/>
              </w:rPr>
              <w:t>职位名称</w:t>
            </w:r>
          </w:p>
        </w:tc>
        <w:tc>
          <w:tcPr>
            <w:tcW w:w="3194" w:type="dxa"/>
          </w:tcPr>
          <w:p>
            <w:pPr>
              <w:pStyle w:val="TableParagraph"/>
              <w:spacing w:line="180" w:lineRule="exact"/>
              <w:ind w:left="812" w:right="802"/>
              <w:jc w:val="center"/>
              <w:rPr>
                <w:sz w:val="18"/>
              </w:rPr>
            </w:pPr>
            <w:r>
              <w:rPr>
                <w:sz w:val="18"/>
              </w:rPr>
              <w:t>2002 年年薪（元）</w:t>
            </w:r>
          </w:p>
        </w:tc>
      </w:tr>
      <w:tr>
        <w:trPr>
          <w:trHeight w:val="200" w:hRule="atLeast"/>
        </w:trPr>
        <w:tc>
          <w:tcPr>
            <w:tcW w:w="2268" w:type="dxa"/>
          </w:tcPr>
          <w:p>
            <w:pPr>
              <w:pStyle w:val="TableParagraph"/>
              <w:spacing w:line="180" w:lineRule="exact"/>
              <w:ind w:left="10"/>
              <w:jc w:val="center"/>
              <w:rPr>
                <w:sz w:val="18"/>
              </w:rPr>
            </w:pPr>
            <w:r>
              <w:rPr>
                <w:sz w:val="18"/>
              </w:rPr>
              <w:t>A</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33000</w:t>
            </w:r>
          </w:p>
        </w:tc>
      </w:tr>
      <w:tr>
        <w:trPr>
          <w:trHeight w:val="200" w:hRule="atLeast"/>
        </w:trPr>
        <w:tc>
          <w:tcPr>
            <w:tcW w:w="2268" w:type="dxa"/>
          </w:tcPr>
          <w:p>
            <w:pPr>
              <w:pStyle w:val="TableParagraph"/>
              <w:spacing w:line="180" w:lineRule="exact"/>
              <w:ind w:left="10"/>
              <w:jc w:val="center"/>
              <w:rPr>
                <w:sz w:val="18"/>
              </w:rPr>
            </w:pPr>
            <w:r>
              <w:rPr>
                <w:sz w:val="18"/>
              </w:rPr>
              <w:t>A</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33000</w:t>
            </w:r>
          </w:p>
        </w:tc>
      </w:tr>
      <w:tr>
        <w:trPr>
          <w:trHeight w:val="200" w:hRule="atLeast"/>
        </w:trPr>
        <w:tc>
          <w:tcPr>
            <w:tcW w:w="2268" w:type="dxa"/>
          </w:tcPr>
          <w:p>
            <w:pPr>
              <w:pStyle w:val="TableParagraph"/>
              <w:spacing w:line="180" w:lineRule="exact"/>
              <w:ind w:left="10"/>
              <w:jc w:val="center"/>
              <w:rPr>
                <w:sz w:val="18"/>
              </w:rPr>
            </w:pPr>
            <w:r>
              <w:rPr>
                <w:sz w:val="18"/>
              </w:rPr>
              <w:t>A</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36000</w:t>
            </w:r>
          </w:p>
        </w:tc>
      </w:tr>
      <w:tr>
        <w:trPr>
          <w:trHeight w:val="200" w:hRule="atLeast"/>
        </w:trPr>
        <w:tc>
          <w:tcPr>
            <w:tcW w:w="2268" w:type="dxa"/>
          </w:tcPr>
          <w:p>
            <w:pPr>
              <w:pStyle w:val="TableParagraph"/>
              <w:spacing w:line="180" w:lineRule="exact"/>
              <w:ind w:left="10"/>
              <w:jc w:val="center"/>
              <w:rPr>
                <w:sz w:val="18"/>
              </w:rPr>
            </w:pPr>
            <w:r>
              <w:rPr>
                <w:sz w:val="18"/>
              </w:rPr>
              <w:t>A</w:t>
            </w:r>
          </w:p>
        </w:tc>
        <w:tc>
          <w:tcPr>
            <w:tcW w:w="3060" w:type="dxa"/>
          </w:tcPr>
          <w:p>
            <w:pPr>
              <w:pStyle w:val="TableParagraph"/>
              <w:spacing w:line="180" w:lineRule="exact"/>
              <w:ind w:left="1059" w:right="1050"/>
              <w:jc w:val="center"/>
              <w:rPr>
                <w:sz w:val="18"/>
              </w:rPr>
            </w:pPr>
            <w:r>
              <w:rPr>
                <w:sz w:val="18"/>
              </w:rPr>
              <w:t>二级工程师</w:t>
            </w:r>
          </w:p>
        </w:tc>
        <w:tc>
          <w:tcPr>
            <w:tcW w:w="3194" w:type="dxa"/>
          </w:tcPr>
          <w:p>
            <w:pPr>
              <w:pStyle w:val="TableParagraph"/>
              <w:spacing w:line="180" w:lineRule="exact"/>
              <w:ind w:left="812" w:right="801"/>
              <w:jc w:val="center"/>
              <w:rPr>
                <w:sz w:val="18"/>
              </w:rPr>
            </w:pPr>
            <w:r>
              <w:rPr>
                <w:sz w:val="18"/>
              </w:rPr>
              <w:t>37500</w:t>
            </w:r>
          </w:p>
        </w:tc>
      </w:tr>
      <w:tr>
        <w:trPr>
          <w:trHeight w:val="200" w:hRule="atLeast"/>
        </w:trPr>
        <w:tc>
          <w:tcPr>
            <w:tcW w:w="2268" w:type="dxa"/>
          </w:tcPr>
          <w:p>
            <w:pPr>
              <w:pStyle w:val="TableParagraph"/>
              <w:spacing w:line="180" w:lineRule="exact"/>
              <w:ind w:left="10"/>
              <w:jc w:val="center"/>
              <w:rPr>
                <w:sz w:val="18"/>
              </w:rPr>
            </w:pPr>
            <w:r>
              <w:rPr>
                <w:sz w:val="18"/>
              </w:rPr>
              <w:t>A</w:t>
            </w:r>
          </w:p>
        </w:tc>
        <w:tc>
          <w:tcPr>
            <w:tcW w:w="3060" w:type="dxa"/>
          </w:tcPr>
          <w:p>
            <w:pPr>
              <w:pStyle w:val="TableParagraph"/>
              <w:spacing w:line="180" w:lineRule="exact"/>
              <w:ind w:left="1059" w:right="1050"/>
              <w:jc w:val="center"/>
              <w:rPr>
                <w:sz w:val="18"/>
              </w:rPr>
            </w:pPr>
            <w:r>
              <w:rPr>
                <w:sz w:val="18"/>
              </w:rPr>
              <w:t>二级工程师</w:t>
            </w:r>
          </w:p>
        </w:tc>
        <w:tc>
          <w:tcPr>
            <w:tcW w:w="3194" w:type="dxa"/>
          </w:tcPr>
          <w:p>
            <w:pPr>
              <w:pStyle w:val="TableParagraph"/>
              <w:spacing w:line="180" w:lineRule="exact"/>
              <w:ind w:left="812" w:right="801"/>
              <w:jc w:val="center"/>
              <w:rPr>
                <w:sz w:val="18"/>
              </w:rPr>
            </w:pPr>
            <w:r>
              <w:rPr>
                <w:sz w:val="18"/>
              </w:rPr>
              <w:t>36000</w:t>
            </w:r>
          </w:p>
        </w:tc>
      </w:tr>
      <w:tr>
        <w:trPr>
          <w:trHeight w:val="200" w:hRule="atLeast"/>
        </w:trPr>
        <w:tc>
          <w:tcPr>
            <w:tcW w:w="2268" w:type="dxa"/>
          </w:tcPr>
          <w:p>
            <w:pPr>
              <w:pStyle w:val="TableParagraph"/>
              <w:spacing w:line="180" w:lineRule="exact"/>
              <w:ind w:left="10"/>
              <w:jc w:val="center"/>
              <w:rPr>
                <w:sz w:val="18"/>
              </w:rPr>
            </w:pPr>
            <w:r>
              <w:rPr>
                <w:sz w:val="18"/>
              </w:rPr>
              <w:t>A</w:t>
            </w:r>
          </w:p>
        </w:tc>
        <w:tc>
          <w:tcPr>
            <w:tcW w:w="3060" w:type="dxa"/>
          </w:tcPr>
          <w:p>
            <w:pPr>
              <w:pStyle w:val="TableParagraph"/>
              <w:spacing w:line="180" w:lineRule="exact"/>
              <w:ind w:left="1059" w:right="1050"/>
              <w:jc w:val="center"/>
              <w:rPr>
                <w:sz w:val="18"/>
              </w:rPr>
            </w:pPr>
            <w:r>
              <w:rPr>
                <w:sz w:val="18"/>
              </w:rPr>
              <w:t>二级工程师</w:t>
            </w:r>
          </w:p>
        </w:tc>
        <w:tc>
          <w:tcPr>
            <w:tcW w:w="3194" w:type="dxa"/>
          </w:tcPr>
          <w:p>
            <w:pPr>
              <w:pStyle w:val="TableParagraph"/>
              <w:spacing w:line="180" w:lineRule="exact"/>
              <w:ind w:left="812" w:right="801"/>
              <w:jc w:val="center"/>
              <w:rPr>
                <w:sz w:val="18"/>
              </w:rPr>
            </w:pPr>
            <w:r>
              <w:rPr>
                <w:sz w:val="18"/>
              </w:rPr>
              <w:t>37500</w:t>
            </w:r>
          </w:p>
        </w:tc>
      </w:tr>
      <w:tr>
        <w:trPr>
          <w:trHeight w:val="200" w:hRule="atLeast"/>
        </w:trPr>
        <w:tc>
          <w:tcPr>
            <w:tcW w:w="2268" w:type="dxa"/>
          </w:tcPr>
          <w:p>
            <w:pPr>
              <w:pStyle w:val="TableParagraph"/>
              <w:spacing w:line="180" w:lineRule="exact"/>
              <w:ind w:left="10"/>
              <w:jc w:val="center"/>
              <w:rPr>
                <w:sz w:val="18"/>
              </w:rPr>
            </w:pPr>
            <w:r>
              <w:rPr>
                <w:sz w:val="18"/>
              </w:rPr>
              <w:t>A</w:t>
            </w:r>
          </w:p>
        </w:tc>
        <w:tc>
          <w:tcPr>
            <w:tcW w:w="3060" w:type="dxa"/>
          </w:tcPr>
          <w:p>
            <w:pPr>
              <w:pStyle w:val="TableParagraph"/>
              <w:spacing w:line="180" w:lineRule="exact"/>
              <w:ind w:left="1059" w:right="1050"/>
              <w:jc w:val="center"/>
              <w:rPr>
                <w:sz w:val="18"/>
              </w:rPr>
            </w:pPr>
            <w:r>
              <w:rPr>
                <w:sz w:val="18"/>
              </w:rPr>
              <w:t>三级工程师</w:t>
            </w:r>
          </w:p>
        </w:tc>
        <w:tc>
          <w:tcPr>
            <w:tcW w:w="3194" w:type="dxa"/>
          </w:tcPr>
          <w:p>
            <w:pPr>
              <w:pStyle w:val="TableParagraph"/>
              <w:spacing w:line="180" w:lineRule="exact"/>
              <w:ind w:left="812" w:right="801"/>
              <w:jc w:val="center"/>
              <w:rPr>
                <w:sz w:val="18"/>
              </w:rPr>
            </w:pPr>
            <w:r>
              <w:rPr>
                <w:sz w:val="18"/>
              </w:rPr>
              <w:t>45000</w:t>
            </w:r>
          </w:p>
        </w:tc>
      </w:tr>
      <w:tr>
        <w:trPr>
          <w:trHeight w:val="200" w:hRule="atLeast"/>
        </w:trPr>
        <w:tc>
          <w:tcPr>
            <w:tcW w:w="2268" w:type="dxa"/>
          </w:tcPr>
          <w:p>
            <w:pPr>
              <w:pStyle w:val="TableParagraph"/>
              <w:spacing w:line="180" w:lineRule="exact"/>
              <w:ind w:left="10"/>
              <w:jc w:val="center"/>
              <w:rPr>
                <w:sz w:val="18"/>
              </w:rPr>
            </w:pPr>
            <w:r>
              <w:rPr>
                <w:sz w:val="18"/>
              </w:rPr>
              <w:t>A</w:t>
            </w:r>
          </w:p>
        </w:tc>
        <w:tc>
          <w:tcPr>
            <w:tcW w:w="3060" w:type="dxa"/>
          </w:tcPr>
          <w:p>
            <w:pPr>
              <w:pStyle w:val="TableParagraph"/>
              <w:spacing w:line="180" w:lineRule="exact"/>
              <w:ind w:left="1059" w:right="1050"/>
              <w:jc w:val="center"/>
              <w:rPr>
                <w:sz w:val="18"/>
              </w:rPr>
            </w:pPr>
            <w:r>
              <w:rPr>
                <w:sz w:val="18"/>
              </w:rPr>
              <w:t>三级工程师</w:t>
            </w:r>
          </w:p>
        </w:tc>
        <w:tc>
          <w:tcPr>
            <w:tcW w:w="3194" w:type="dxa"/>
          </w:tcPr>
          <w:p>
            <w:pPr>
              <w:pStyle w:val="TableParagraph"/>
              <w:spacing w:line="180" w:lineRule="exact"/>
              <w:ind w:left="812" w:right="801"/>
              <w:jc w:val="center"/>
              <w:rPr>
                <w:sz w:val="18"/>
              </w:rPr>
            </w:pPr>
            <w:r>
              <w:rPr>
                <w:sz w:val="18"/>
              </w:rPr>
              <w:t>43500</w:t>
            </w:r>
          </w:p>
        </w:tc>
      </w:tr>
      <w:tr>
        <w:trPr>
          <w:trHeight w:val="200" w:hRule="atLeast"/>
        </w:trPr>
        <w:tc>
          <w:tcPr>
            <w:tcW w:w="2268" w:type="dxa"/>
          </w:tcPr>
          <w:p>
            <w:pPr>
              <w:pStyle w:val="TableParagraph"/>
              <w:spacing w:line="180" w:lineRule="exact"/>
              <w:ind w:left="10"/>
              <w:jc w:val="center"/>
              <w:rPr>
                <w:sz w:val="18"/>
              </w:rPr>
            </w:pPr>
            <w:r>
              <w:rPr>
                <w:sz w:val="18"/>
              </w:rPr>
              <w:t>B</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33000</w:t>
            </w:r>
          </w:p>
        </w:tc>
      </w:tr>
      <w:tr>
        <w:trPr>
          <w:trHeight w:val="200" w:hRule="atLeast"/>
        </w:trPr>
        <w:tc>
          <w:tcPr>
            <w:tcW w:w="2268" w:type="dxa"/>
          </w:tcPr>
          <w:p>
            <w:pPr>
              <w:pStyle w:val="TableParagraph"/>
              <w:spacing w:line="180" w:lineRule="exact"/>
              <w:ind w:left="10"/>
              <w:jc w:val="center"/>
              <w:rPr>
                <w:sz w:val="18"/>
              </w:rPr>
            </w:pPr>
            <w:r>
              <w:rPr>
                <w:sz w:val="18"/>
              </w:rPr>
              <w:t>B</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34500</w:t>
            </w:r>
          </w:p>
        </w:tc>
      </w:tr>
      <w:tr>
        <w:trPr>
          <w:trHeight w:val="200" w:hRule="atLeast"/>
        </w:trPr>
        <w:tc>
          <w:tcPr>
            <w:tcW w:w="2268" w:type="dxa"/>
          </w:tcPr>
          <w:p>
            <w:pPr>
              <w:pStyle w:val="TableParagraph"/>
              <w:spacing w:line="180" w:lineRule="exact"/>
              <w:ind w:left="10"/>
              <w:jc w:val="center"/>
              <w:rPr>
                <w:sz w:val="18"/>
              </w:rPr>
            </w:pPr>
            <w:r>
              <w:rPr>
                <w:sz w:val="18"/>
              </w:rPr>
              <w:t>B</w:t>
            </w:r>
          </w:p>
        </w:tc>
        <w:tc>
          <w:tcPr>
            <w:tcW w:w="3060" w:type="dxa"/>
          </w:tcPr>
          <w:p>
            <w:pPr>
              <w:pStyle w:val="TableParagraph"/>
              <w:spacing w:line="180" w:lineRule="exact"/>
              <w:ind w:left="1059" w:right="1050"/>
              <w:jc w:val="center"/>
              <w:rPr>
                <w:sz w:val="18"/>
              </w:rPr>
            </w:pPr>
            <w:r>
              <w:rPr>
                <w:sz w:val="18"/>
              </w:rPr>
              <w:t>二级工程师</w:t>
            </w:r>
          </w:p>
        </w:tc>
        <w:tc>
          <w:tcPr>
            <w:tcW w:w="3194" w:type="dxa"/>
          </w:tcPr>
          <w:p>
            <w:pPr>
              <w:pStyle w:val="TableParagraph"/>
              <w:spacing w:line="180" w:lineRule="exact"/>
              <w:ind w:left="812" w:right="801"/>
              <w:jc w:val="center"/>
              <w:rPr>
                <w:sz w:val="18"/>
              </w:rPr>
            </w:pPr>
            <w:r>
              <w:rPr>
                <w:sz w:val="18"/>
              </w:rPr>
              <w:t>36000</w:t>
            </w:r>
          </w:p>
        </w:tc>
      </w:tr>
      <w:tr>
        <w:trPr>
          <w:trHeight w:val="200" w:hRule="atLeast"/>
        </w:trPr>
        <w:tc>
          <w:tcPr>
            <w:tcW w:w="2268" w:type="dxa"/>
          </w:tcPr>
          <w:p>
            <w:pPr>
              <w:pStyle w:val="TableParagraph"/>
              <w:spacing w:line="180" w:lineRule="exact"/>
              <w:ind w:left="10"/>
              <w:jc w:val="center"/>
              <w:rPr>
                <w:sz w:val="18"/>
              </w:rPr>
            </w:pPr>
            <w:r>
              <w:rPr>
                <w:sz w:val="18"/>
              </w:rPr>
              <w:t>B</w:t>
            </w:r>
          </w:p>
        </w:tc>
        <w:tc>
          <w:tcPr>
            <w:tcW w:w="3060" w:type="dxa"/>
          </w:tcPr>
          <w:p>
            <w:pPr>
              <w:pStyle w:val="TableParagraph"/>
              <w:spacing w:line="180" w:lineRule="exact"/>
              <w:ind w:left="1059" w:right="1050"/>
              <w:jc w:val="center"/>
              <w:rPr>
                <w:sz w:val="18"/>
              </w:rPr>
            </w:pPr>
            <w:r>
              <w:rPr>
                <w:sz w:val="18"/>
              </w:rPr>
              <w:t>三级工程师</w:t>
            </w:r>
          </w:p>
        </w:tc>
        <w:tc>
          <w:tcPr>
            <w:tcW w:w="3194" w:type="dxa"/>
          </w:tcPr>
          <w:p>
            <w:pPr>
              <w:pStyle w:val="TableParagraph"/>
              <w:spacing w:line="180" w:lineRule="exact"/>
              <w:ind w:left="812" w:right="801"/>
              <w:jc w:val="center"/>
              <w:rPr>
                <w:sz w:val="18"/>
              </w:rPr>
            </w:pPr>
            <w:r>
              <w:rPr>
                <w:sz w:val="18"/>
              </w:rPr>
              <w:t>43500</w:t>
            </w:r>
          </w:p>
        </w:tc>
      </w:tr>
      <w:tr>
        <w:trPr>
          <w:trHeight w:val="200" w:hRule="atLeast"/>
        </w:trPr>
        <w:tc>
          <w:tcPr>
            <w:tcW w:w="2268" w:type="dxa"/>
          </w:tcPr>
          <w:p>
            <w:pPr>
              <w:pStyle w:val="TableParagraph"/>
              <w:spacing w:line="180" w:lineRule="exact"/>
              <w:ind w:left="10"/>
              <w:jc w:val="center"/>
              <w:rPr>
                <w:sz w:val="18"/>
              </w:rPr>
            </w:pPr>
            <w:r>
              <w:rPr>
                <w:sz w:val="18"/>
              </w:rPr>
              <w:t>C</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34500</w:t>
            </w:r>
          </w:p>
        </w:tc>
      </w:tr>
      <w:tr>
        <w:trPr>
          <w:trHeight w:val="200" w:hRule="atLeast"/>
        </w:trPr>
        <w:tc>
          <w:tcPr>
            <w:tcW w:w="2268" w:type="dxa"/>
          </w:tcPr>
          <w:p>
            <w:pPr>
              <w:pStyle w:val="TableParagraph"/>
              <w:spacing w:line="180" w:lineRule="exact"/>
              <w:ind w:left="10"/>
              <w:jc w:val="center"/>
              <w:rPr>
                <w:sz w:val="18"/>
              </w:rPr>
            </w:pPr>
            <w:r>
              <w:rPr>
                <w:sz w:val="18"/>
              </w:rPr>
              <w:t>C</w:t>
            </w:r>
          </w:p>
        </w:tc>
        <w:tc>
          <w:tcPr>
            <w:tcW w:w="3060" w:type="dxa"/>
          </w:tcPr>
          <w:p>
            <w:pPr>
              <w:pStyle w:val="TableParagraph"/>
              <w:spacing w:line="180" w:lineRule="exact"/>
              <w:ind w:left="1059" w:right="1050"/>
              <w:jc w:val="center"/>
              <w:rPr>
                <w:sz w:val="18"/>
              </w:rPr>
            </w:pPr>
            <w:r>
              <w:rPr>
                <w:sz w:val="18"/>
              </w:rPr>
              <w:t>二级工程师</w:t>
            </w:r>
          </w:p>
        </w:tc>
        <w:tc>
          <w:tcPr>
            <w:tcW w:w="3194" w:type="dxa"/>
          </w:tcPr>
          <w:p>
            <w:pPr>
              <w:pStyle w:val="TableParagraph"/>
              <w:spacing w:line="180" w:lineRule="exact"/>
              <w:ind w:left="812" w:right="801"/>
              <w:jc w:val="center"/>
              <w:rPr>
                <w:sz w:val="18"/>
              </w:rPr>
            </w:pPr>
            <w:r>
              <w:rPr>
                <w:sz w:val="18"/>
              </w:rPr>
              <w:t>37500</w:t>
            </w:r>
          </w:p>
        </w:tc>
      </w:tr>
      <w:tr>
        <w:trPr>
          <w:trHeight w:val="200" w:hRule="atLeast"/>
        </w:trPr>
        <w:tc>
          <w:tcPr>
            <w:tcW w:w="2268" w:type="dxa"/>
          </w:tcPr>
          <w:p>
            <w:pPr>
              <w:pStyle w:val="TableParagraph"/>
              <w:spacing w:line="180" w:lineRule="exact"/>
              <w:ind w:left="10"/>
              <w:jc w:val="center"/>
              <w:rPr>
                <w:sz w:val="18"/>
              </w:rPr>
            </w:pPr>
            <w:r>
              <w:rPr>
                <w:sz w:val="18"/>
              </w:rPr>
              <w:t>C</w:t>
            </w:r>
          </w:p>
        </w:tc>
        <w:tc>
          <w:tcPr>
            <w:tcW w:w="3060" w:type="dxa"/>
          </w:tcPr>
          <w:p>
            <w:pPr>
              <w:pStyle w:val="TableParagraph"/>
              <w:spacing w:line="180" w:lineRule="exact"/>
              <w:ind w:left="1059" w:right="1050"/>
              <w:jc w:val="center"/>
              <w:rPr>
                <w:sz w:val="18"/>
              </w:rPr>
            </w:pPr>
            <w:r>
              <w:rPr>
                <w:sz w:val="18"/>
              </w:rPr>
              <w:t>三级工程师</w:t>
            </w:r>
          </w:p>
        </w:tc>
        <w:tc>
          <w:tcPr>
            <w:tcW w:w="3194" w:type="dxa"/>
          </w:tcPr>
          <w:p>
            <w:pPr>
              <w:pStyle w:val="TableParagraph"/>
              <w:spacing w:line="180" w:lineRule="exact"/>
              <w:ind w:left="812" w:right="801"/>
              <w:jc w:val="center"/>
              <w:rPr>
                <w:sz w:val="18"/>
              </w:rPr>
            </w:pPr>
            <w:r>
              <w:rPr>
                <w:sz w:val="18"/>
              </w:rPr>
              <w:t>43500</w:t>
            </w:r>
          </w:p>
        </w:tc>
      </w:tr>
      <w:tr>
        <w:trPr>
          <w:trHeight w:val="200" w:hRule="atLeast"/>
        </w:trPr>
        <w:tc>
          <w:tcPr>
            <w:tcW w:w="2268" w:type="dxa"/>
          </w:tcPr>
          <w:p>
            <w:pPr>
              <w:pStyle w:val="TableParagraph"/>
              <w:spacing w:line="180" w:lineRule="exact"/>
              <w:ind w:left="10"/>
              <w:jc w:val="center"/>
              <w:rPr>
                <w:sz w:val="18"/>
              </w:rPr>
            </w:pPr>
            <w:r>
              <w:rPr>
                <w:sz w:val="18"/>
              </w:rPr>
              <w:t>D</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36000</w:t>
            </w:r>
          </w:p>
        </w:tc>
      </w:tr>
      <w:tr>
        <w:trPr>
          <w:trHeight w:val="200" w:hRule="atLeast"/>
        </w:trPr>
        <w:tc>
          <w:tcPr>
            <w:tcW w:w="2268" w:type="dxa"/>
          </w:tcPr>
          <w:p>
            <w:pPr>
              <w:pStyle w:val="TableParagraph"/>
              <w:spacing w:line="180" w:lineRule="exact"/>
              <w:ind w:left="10"/>
              <w:jc w:val="center"/>
              <w:rPr>
                <w:sz w:val="18"/>
              </w:rPr>
            </w:pPr>
            <w:r>
              <w:rPr>
                <w:sz w:val="18"/>
              </w:rPr>
              <w:t>D</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36000</w:t>
            </w:r>
          </w:p>
        </w:tc>
      </w:tr>
      <w:tr>
        <w:trPr>
          <w:trHeight w:val="200" w:hRule="atLeast"/>
        </w:trPr>
        <w:tc>
          <w:tcPr>
            <w:tcW w:w="2268" w:type="dxa"/>
          </w:tcPr>
          <w:p>
            <w:pPr>
              <w:pStyle w:val="TableParagraph"/>
              <w:spacing w:line="180" w:lineRule="exact"/>
              <w:ind w:left="10"/>
              <w:jc w:val="center"/>
              <w:rPr>
                <w:sz w:val="18"/>
              </w:rPr>
            </w:pPr>
            <w:r>
              <w:rPr>
                <w:sz w:val="18"/>
              </w:rPr>
              <w:t>D</w:t>
            </w:r>
          </w:p>
        </w:tc>
        <w:tc>
          <w:tcPr>
            <w:tcW w:w="3060" w:type="dxa"/>
          </w:tcPr>
          <w:p>
            <w:pPr>
              <w:pStyle w:val="TableParagraph"/>
              <w:spacing w:line="180" w:lineRule="exact"/>
              <w:ind w:left="1059" w:right="1050"/>
              <w:jc w:val="center"/>
              <w:rPr>
                <w:sz w:val="18"/>
              </w:rPr>
            </w:pPr>
            <w:r>
              <w:rPr>
                <w:sz w:val="18"/>
              </w:rPr>
              <w:t>三级工程师</w:t>
            </w:r>
          </w:p>
        </w:tc>
        <w:tc>
          <w:tcPr>
            <w:tcW w:w="3194" w:type="dxa"/>
          </w:tcPr>
          <w:p>
            <w:pPr>
              <w:pStyle w:val="TableParagraph"/>
              <w:spacing w:line="180" w:lineRule="exact"/>
              <w:ind w:left="812" w:right="801"/>
              <w:jc w:val="center"/>
              <w:rPr>
                <w:sz w:val="18"/>
              </w:rPr>
            </w:pPr>
            <w:r>
              <w:rPr>
                <w:sz w:val="18"/>
              </w:rPr>
              <w:t>55000</w:t>
            </w:r>
          </w:p>
        </w:tc>
      </w:tr>
      <w:tr>
        <w:trPr>
          <w:trHeight w:val="200" w:hRule="atLeast"/>
        </w:trPr>
        <w:tc>
          <w:tcPr>
            <w:tcW w:w="2268" w:type="dxa"/>
          </w:tcPr>
          <w:p>
            <w:pPr>
              <w:pStyle w:val="TableParagraph"/>
              <w:spacing w:line="180" w:lineRule="exact"/>
              <w:ind w:left="10"/>
              <w:jc w:val="center"/>
              <w:rPr>
                <w:sz w:val="18"/>
              </w:rPr>
            </w:pPr>
            <w:r>
              <w:rPr>
                <w:sz w:val="18"/>
              </w:rPr>
              <w:t>E</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33000</w:t>
            </w:r>
          </w:p>
        </w:tc>
      </w:tr>
      <w:tr>
        <w:trPr>
          <w:trHeight w:val="200" w:hRule="atLeast"/>
        </w:trPr>
        <w:tc>
          <w:tcPr>
            <w:tcW w:w="2268" w:type="dxa"/>
          </w:tcPr>
          <w:p>
            <w:pPr>
              <w:pStyle w:val="TableParagraph"/>
              <w:spacing w:line="180" w:lineRule="exact"/>
              <w:ind w:left="10"/>
              <w:jc w:val="center"/>
              <w:rPr>
                <w:sz w:val="18"/>
              </w:rPr>
            </w:pPr>
            <w:r>
              <w:rPr>
                <w:sz w:val="18"/>
              </w:rPr>
              <w:t>E</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33000</w:t>
            </w:r>
          </w:p>
        </w:tc>
      </w:tr>
      <w:tr>
        <w:trPr>
          <w:trHeight w:val="200" w:hRule="atLeast"/>
        </w:trPr>
        <w:tc>
          <w:tcPr>
            <w:tcW w:w="2268" w:type="dxa"/>
          </w:tcPr>
          <w:p>
            <w:pPr>
              <w:pStyle w:val="TableParagraph"/>
              <w:spacing w:line="180" w:lineRule="exact"/>
              <w:ind w:left="10"/>
              <w:jc w:val="center"/>
              <w:rPr>
                <w:sz w:val="18"/>
              </w:rPr>
            </w:pPr>
            <w:r>
              <w:rPr>
                <w:sz w:val="18"/>
              </w:rPr>
              <w:t>E</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34500</w:t>
            </w:r>
          </w:p>
        </w:tc>
      </w:tr>
      <w:tr>
        <w:trPr>
          <w:trHeight w:val="200" w:hRule="atLeast"/>
        </w:trPr>
        <w:tc>
          <w:tcPr>
            <w:tcW w:w="2268" w:type="dxa"/>
          </w:tcPr>
          <w:p>
            <w:pPr>
              <w:pStyle w:val="TableParagraph"/>
              <w:spacing w:line="180" w:lineRule="exact"/>
              <w:ind w:left="10"/>
              <w:jc w:val="center"/>
              <w:rPr>
                <w:sz w:val="18"/>
              </w:rPr>
            </w:pPr>
            <w:r>
              <w:rPr>
                <w:sz w:val="18"/>
              </w:rPr>
              <w:t>E</w:t>
            </w:r>
          </w:p>
        </w:tc>
        <w:tc>
          <w:tcPr>
            <w:tcW w:w="3060" w:type="dxa"/>
          </w:tcPr>
          <w:p>
            <w:pPr>
              <w:pStyle w:val="TableParagraph"/>
              <w:spacing w:line="180" w:lineRule="exact"/>
              <w:ind w:left="1059" w:right="1050"/>
              <w:jc w:val="center"/>
              <w:rPr>
                <w:sz w:val="18"/>
              </w:rPr>
            </w:pPr>
            <w:r>
              <w:rPr>
                <w:sz w:val="18"/>
              </w:rPr>
              <w:t>二级工程师</w:t>
            </w:r>
          </w:p>
        </w:tc>
        <w:tc>
          <w:tcPr>
            <w:tcW w:w="3194" w:type="dxa"/>
          </w:tcPr>
          <w:p>
            <w:pPr>
              <w:pStyle w:val="TableParagraph"/>
              <w:spacing w:line="180" w:lineRule="exact"/>
              <w:ind w:left="812" w:right="801"/>
              <w:jc w:val="center"/>
              <w:rPr>
                <w:sz w:val="18"/>
              </w:rPr>
            </w:pPr>
            <w:r>
              <w:rPr>
                <w:sz w:val="18"/>
              </w:rPr>
              <w:t>36000</w:t>
            </w:r>
          </w:p>
        </w:tc>
      </w:tr>
      <w:tr>
        <w:trPr>
          <w:trHeight w:val="200" w:hRule="atLeast"/>
        </w:trPr>
        <w:tc>
          <w:tcPr>
            <w:tcW w:w="2268" w:type="dxa"/>
          </w:tcPr>
          <w:p>
            <w:pPr>
              <w:pStyle w:val="TableParagraph"/>
              <w:spacing w:line="180" w:lineRule="exact"/>
              <w:ind w:left="10"/>
              <w:jc w:val="center"/>
              <w:rPr>
                <w:sz w:val="18"/>
              </w:rPr>
            </w:pPr>
            <w:r>
              <w:rPr>
                <w:sz w:val="18"/>
              </w:rPr>
              <w:t>E</w:t>
            </w:r>
          </w:p>
        </w:tc>
        <w:tc>
          <w:tcPr>
            <w:tcW w:w="3060" w:type="dxa"/>
          </w:tcPr>
          <w:p>
            <w:pPr>
              <w:pStyle w:val="TableParagraph"/>
              <w:spacing w:line="180" w:lineRule="exact"/>
              <w:ind w:left="1059" w:right="1050"/>
              <w:jc w:val="center"/>
              <w:rPr>
                <w:sz w:val="18"/>
              </w:rPr>
            </w:pPr>
            <w:r>
              <w:rPr>
                <w:sz w:val="18"/>
              </w:rPr>
              <w:t>二级工程师</w:t>
            </w:r>
          </w:p>
        </w:tc>
        <w:tc>
          <w:tcPr>
            <w:tcW w:w="3194" w:type="dxa"/>
          </w:tcPr>
          <w:p>
            <w:pPr>
              <w:pStyle w:val="TableParagraph"/>
              <w:spacing w:line="180" w:lineRule="exact"/>
              <w:ind w:left="812" w:right="801"/>
              <w:jc w:val="center"/>
              <w:rPr>
                <w:sz w:val="18"/>
              </w:rPr>
            </w:pPr>
            <w:r>
              <w:rPr>
                <w:sz w:val="18"/>
              </w:rPr>
              <w:t>36000</w:t>
            </w:r>
          </w:p>
        </w:tc>
      </w:tr>
      <w:tr>
        <w:trPr>
          <w:trHeight w:val="302" w:hRule="atLeast"/>
        </w:trPr>
        <w:tc>
          <w:tcPr>
            <w:tcW w:w="2268" w:type="dxa"/>
          </w:tcPr>
          <w:p>
            <w:pPr>
              <w:pStyle w:val="TableParagraph"/>
              <w:spacing w:line="199" w:lineRule="exact"/>
              <w:ind w:left="10"/>
              <w:jc w:val="center"/>
              <w:rPr>
                <w:sz w:val="18"/>
              </w:rPr>
            </w:pPr>
            <w:r>
              <w:rPr>
                <w:sz w:val="18"/>
              </w:rPr>
              <w:t>E</w:t>
            </w:r>
          </w:p>
        </w:tc>
        <w:tc>
          <w:tcPr>
            <w:tcW w:w="3060" w:type="dxa"/>
          </w:tcPr>
          <w:p>
            <w:pPr>
              <w:pStyle w:val="TableParagraph"/>
              <w:spacing w:line="199" w:lineRule="exact"/>
              <w:ind w:left="1059" w:right="1050"/>
              <w:jc w:val="center"/>
              <w:rPr>
                <w:sz w:val="18"/>
              </w:rPr>
            </w:pPr>
            <w:r>
              <w:rPr>
                <w:sz w:val="18"/>
              </w:rPr>
              <w:t>二级工程师</w:t>
            </w:r>
          </w:p>
        </w:tc>
        <w:tc>
          <w:tcPr>
            <w:tcW w:w="3194" w:type="dxa"/>
          </w:tcPr>
          <w:p>
            <w:pPr>
              <w:pStyle w:val="TableParagraph"/>
              <w:spacing w:line="199" w:lineRule="exact"/>
              <w:ind w:left="812" w:right="801"/>
              <w:jc w:val="center"/>
              <w:rPr>
                <w:sz w:val="18"/>
              </w:rPr>
            </w:pPr>
            <w:r>
              <w:rPr>
                <w:sz w:val="18"/>
              </w:rPr>
              <w:t>37500</w:t>
            </w:r>
          </w:p>
        </w:tc>
      </w:tr>
      <w:tr>
        <w:trPr>
          <w:trHeight w:val="200" w:hRule="atLeast"/>
        </w:trPr>
        <w:tc>
          <w:tcPr>
            <w:tcW w:w="2268" w:type="dxa"/>
          </w:tcPr>
          <w:p>
            <w:pPr>
              <w:pStyle w:val="TableParagraph"/>
              <w:spacing w:line="180" w:lineRule="exact"/>
              <w:ind w:left="10"/>
              <w:jc w:val="center"/>
              <w:rPr>
                <w:sz w:val="18"/>
              </w:rPr>
            </w:pPr>
            <w:r>
              <w:rPr>
                <w:sz w:val="18"/>
              </w:rPr>
              <w:t>E</w:t>
            </w:r>
          </w:p>
        </w:tc>
        <w:tc>
          <w:tcPr>
            <w:tcW w:w="3060" w:type="dxa"/>
          </w:tcPr>
          <w:p>
            <w:pPr>
              <w:pStyle w:val="TableParagraph"/>
              <w:spacing w:line="180" w:lineRule="exact"/>
              <w:ind w:left="1059" w:right="1050"/>
              <w:jc w:val="center"/>
              <w:rPr>
                <w:sz w:val="18"/>
              </w:rPr>
            </w:pPr>
            <w:r>
              <w:rPr>
                <w:sz w:val="18"/>
              </w:rPr>
              <w:t>三级工程师</w:t>
            </w:r>
          </w:p>
        </w:tc>
        <w:tc>
          <w:tcPr>
            <w:tcW w:w="3194" w:type="dxa"/>
          </w:tcPr>
          <w:p>
            <w:pPr>
              <w:pStyle w:val="TableParagraph"/>
              <w:spacing w:line="180" w:lineRule="exact"/>
              <w:ind w:left="812" w:right="801"/>
              <w:jc w:val="center"/>
              <w:rPr>
                <w:sz w:val="18"/>
              </w:rPr>
            </w:pPr>
            <w:r>
              <w:rPr>
                <w:sz w:val="18"/>
              </w:rPr>
              <w:t>45000</w:t>
            </w:r>
          </w:p>
        </w:tc>
      </w:tr>
      <w:tr>
        <w:trPr>
          <w:trHeight w:val="200" w:hRule="atLeast"/>
        </w:trPr>
        <w:tc>
          <w:tcPr>
            <w:tcW w:w="2268" w:type="dxa"/>
          </w:tcPr>
          <w:p>
            <w:pPr>
              <w:pStyle w:val="TableParagraph"/>
              <w:spacing w:line="180" w:lineRule="exact"/>
              <w:ind w:left="10"/>
              <w:jc w:val="center"/>
              <w:rPr>
                <w:sz w:val="18"/>
              </w:rPr>
            </w:pPr>
            <w:r>
              <w:rPr>
                <w:sz w:val="18"/>
              </w:rPr>
              <w:t>F</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34500</w:t>
            </w:r>
          </w:p>
        </w:tc>
      </w:tr>
      <w:tr>
        <w:trPr>
          <w:trHeight w:val="200" w:hRule="atLeast"/>
        </w:trPr>
        <w:tc>
          <w:tcPr>
            <w:tcW w:w="2268" w:type="dxa"/>
          </w:tcPr>
          <w:p>
            <w:pPr>
              <w:pStyle w:val="TableParagraph"/>
              <w:spacing w:line="180" w:lineRule="exact"/>
              <w:ind w:left="10"/>
              <w:jc w:val="center"/>
              <w:rPr>
                <w:sz w:val="18"/>
              </w:rPr>
            </w:pPr>
            <w:r>
              <w:rPr>
                <w:sz w:val="18"/>
              </w:rPr>
              <w:t>F</w:t>
            </w:r>
          </w:p>
        </w:tc>
        <w:tc>
          <w:tcPr>
            <w:tcW w:w="3060" w:type="dxa"/>
          </w:tcPr>
          <w:p>
            <w:pPr>
              <w:pStyle w:val="TableParagraph"/>
              <w:spacing w:line="180" w:lineRule="exact"/>
              <w:ind w:left="1059" w:right="1050"/>
              <w:jc w:val="center"/>
              <w:rPr>
                <w:sz w:val="18"/>
              </w:rPr>
            </w:pPr>
            <w:r>
              <w:rPr>
                <w:sz w:val="18"/>
              </w:rPr>
              <w:t>二级工程师</w:t>
            </w:r>
          </w:p>
        </w:tc>
        <w:tc>
          <w:tcPr>
            <w:tcW w:w="3194" w:type="dxa"/>
          </w:tcPr>
          <w:p>
            <w:pPr>
              <w:pStyle w:val="TableParagraph"/>
              <w:spacing w:line="180" w:lineRule="exact"/>
              <w:ind w:left="812" w:right="801"/>
              <w:jc w:val="center"/>
              <w:rPr>
                <w:sz w:val="18"/>
              </w:rPr>
            </w:pPr>
            <w:r>
              <w:rPr>
                <w:sz w:val="18"/>
              </w:rPr>
              <w:t>37500</w:t>
            </w:r>
          </w:p>
        </w:tc>
      </w:tr>
      <w:tr>
        <w:trPr>
          <w:trHeight w:val="200" w:hRule="atLeast"/>
        </w:trPr>
        <w:tc>
          <w:tcPr>
            <w:tcW w:w="2268" w:type="dxa"/>
          </w:tcPr>
          <w:p>
            <w:pPr>
              <w:pStyle w:val="TableParagraph"/>
              <w:spacing w:line="180" w:lineRule="exact"/>
              <w:ind w:left="10"/>
              <w:jc w:val="center"/>
              <w:rPr>
                <w:sz w:val="18"/>
              </w:rPr>
            </w:pPr>
            <w:r>
              <w:rPr>
                <w:sz w:val="18"/>
              </w:rPr>
              <w:t>F</w:t>
            </w:r>
          </w:p>
        </w:tc>
        <w:tc>
          <w:tcPr>
            <w:tcW w:w="3060" w:type="dxa"/>
          </w:tcPr>
          <w:p>
            <w:pPr>
              <w:pStyle w:val="TableParagraph"/>
              <w:spacing w:line="180" w:lineRule="exact"/>
              <w:ind w:left="1059" w:right="1050"/>
              <w:jc w:val="center"/>
              <w:rPr>
                <w:sz w:val="18"/>
              </w:rPr>
            </w:pPr>
            <w:r>
              <w:rPr>
                <w:sz w:val="18"/>
              </w:rPr>
              <w:t>三级工程师</w:t>
            </w:r>
          </w:p>
        </w:tc>
        <w:tc>
          <w:tcPr>
            <w:tcW w:w="3194" w:type="dxa"/>
          </w:tcPr>
          <w:p>
            <w:pPr>
              <w:pStyle w:val="TableParagraph"/>
              <w:spacing w:line="180" w:lineRule="exact"/>
              <w:ind w:left="812" w:right="801"/>
              <w:jc w:val="center"/>
              <w:rPr>
                <w:sz w:val="18"/>
              </w:rPr>
            </w:pPr>
            <w:r>
              <w:rPr>
                <w:sz w:val="18"/>
              </w:rPr>
              <w:t>45000</w:t>
            </w:r>
          </w:p>
        </w:tc>
      </w:tr>
      <w:tr>
        <w:trPr>
          <w:trHeight w:val="200" w:hRule="atLeast"/>
        </w:trPr>
        <w:tc>
          <w:tcPr>
            <w:tcW w:w="2268" w:type="dxa"/>
          </w:tcPr>
          <w:p>
            <w:pPr>
              <w:pStyle w:val="TableParagraph"/>
              <w:spacing w:line="180" w:lineRule="exact"/>
              <w:ind w:left="10"/>
              <w:jc w:val="center"/>
              <w:rPr>
                <w:sz w:val="18"/>
              </w:rPr>
            </w:pPr>
            <w:r>
              <w:rPr>
                <w:sz w:val="18"/>
              </w:rPr>
              <w:t>F</w:t>
            </w:r>
          </w:p>
        </w:tc>
        <w:tc>
          <w:tcPr>
            <w:tcW w:w="3060" w:type="dxa"/>
          </w:tcPr>
          <w:p>
            <w:pPr>
              <w:pStyle w:val="TableParagraph"/>
              <w:spacing w:line="180" w:lineRule="exact"/>
              <w:ind w:left="1059" w:right="1050"/>
              <w:jc w:val="center"/>
              <w:rPr>
                <w:sz w:val="18"/>
              </w:rPr>
            </w:pPr>
            <w:r>
              <w:rPr>
                <w:sz w:val="18"/>
              </w:rPr>
              <w:t>三级工程师</w:t>
            </w:r>
          </w:p>
        </w:tc>
        <w:tc>
          <w:tcPr>
            <w:tcW w:w="3194" w:type="dxa"/>
          </w:tcPr>
          <w:p>
            <w:pPr>
              <w:pStyle w:val="TableParagraph"/>
              <w:spacing w:line="180" w:lineRule="exact"/>
              <w:ind w:left="812" w:right="801"/>
              <w:jc w:val="center"/>
              <w:rPr>
                <w:sz w:val="18"/>
              </w:rPr>
            </w:pPr>
            <w:r>
              <w:rPr>
                <w:sz w:val="18"/>
              </w:rPr>
              <w:t>45000</w:t>
            </w:r>
          </w:p>
        </w:tc>
      </w:tr>
      <w:tr>
        <w:trPr>
          <w:trHeight w:val="200" w:hRule="atLeast"/>
        </w:trPr>
        <w:tc>
          <w:tcPr>
            <w:tcW w:w="2268" w:type="dxa"/>
          </w:tcPr>
          <w:p>
            <w:pPr>
              <w:pStyle w:val="TableParagraph"/>
              <w:spacing w:line="180" w:lineRule="exact"/>
              <w:ind w:left="10"/>
              <w:jc w:val="center"/>
              <w:rPr>
                <w:sz w:val="18"/>
              </w:rPr>
            </w:pPr>
            <w:r>
              <w:rPr>
                <w:sz w:val="18"/>
              </w:rPr>
              <w:t>F</w:t>
            </w:r>
          </w:p>
        </w:tc>
        <w:tc>
          <w:tcPr>
            <w:tcW w:w="3060" w:type="dxa"/>
          </w:tcPr>
          <w:p>
            <w:pPr>
              <w:pStyle w:val="TableParagraph"/>
              <w:spacing w:line="180" w:lineRule="exact"/>
              <w:ind w:left="1059" w:right="1050"/>
              <w:jc w:val="center"/>
              <w:rPr>
                <w:sz w:val="18"/>
              </w:rPr>
            </w:pPr>
            <w:r>
              <w:rPr>
                <w:sz w:val="18"/>
              </w:rPr>
              <w:t>三级工程师</w:t>
            </w:r>
          </w:p>
        </w:tc>
        <w:tc>
          <w:tcPr>
            <w:tcW w:w="3194" w:type="dxa"/>
          </w:tcPr>
          <w:p>
            <w:pPr>
              <w:pStyle w:val="TableParagraph"/>
              <w:spacing w:line="180" w:lineRule="exact"/>
              <w:ind w:left="812" w:right="801"/>
              <w:jc w:val="center"/>
              <w:rPr>
                <w:sz w:val="18"/>
              </w:rPr>
            </w:pPr>
            <w:r>
              <w:rPr>
                <w:sz w:val="18"/>
              </w:rPr>
              <w:t>43500</w:t>
            </w:r>
          </w:p>
        </w:tc>
      </w:tr>
      <w:tr>
        <w:trPr>
          <w:trHeight w:val="200" w:hRule="atLeast"/>
        </w:trPr>
        <w:tc>
          <w:tcPr>
            <w:tcW w:w="2268" w:type="dxa"/>
          </w:tcPr>
          <w:p>
            <w:pPr>
              <w:pStyle w:val="TableParagraph"/>
              <w:spacing w:line="180" w:lineRule="exact"/>
              <w:ind w:left="10"/>
              <w:jc w:val="center"/>
              <w:rPr>
                <w:sz w:val="18"/>
              </w:rPr>
            </w:pPr>
            <w:r>
              <w:rPr>
                <w:sz w:val="18"/>
              </w:rPr>
              <w:t>G</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34500</w:t>
            </w:r>
          </w:p>
        </w:tc>
      </w:tr>
      <w:tr>
        <w:trPr>
          <w:trHeight w:val="200" w:hRule="atLeast"/>
        </w:trPr>
        <w:tc>
          <w:tcPr>
            <w:tcW w:w="2268" w:type="dxa"/>
          </w:tcPr>
          <w:p>
            <w:pPr>
              <w:pStyle w:val="TableParagraph"/>
              <w:spacing w:line="180" w:lineRule="exact"/>
              <w:ind w:left="10"/>
              <w:jc w:val="center"/>
              <w:rPr>
                <w:sz w:val="18"/>
              </w:rPr>
            </w:pPr>
            <w:r>
              <w:rPr>
                <w:sz w:val="18"/>
              </w:rPr>
              <w:t>G</w:t>
            </w:r>
          </w:p>
        </w:tc>
        <w:tc>
          <w:tcPr>
            <w:tcW w:w="3060" w:type="dxa"/>
          </w:tcPr>
          <w:p>
            <w:pPr>
              <w:pStyle w:val="TableParagraph"/>
              <w:spacing w:line="180" w:lineRule="exact"/>
              <w:ind w:left="1059" w:right="1050"/>
              <w:jc w:val="center"/>
              <w:rPr>
                <w:sz w:val="18"/>
              </w:rPr>
            </w:pPr>
            <w:r>
              <w:rPr>
                <w:sz w:val="18"/>
              </w:rPr>
              <w:t>一级工程师</w:t>
            </w:r>
          </w:p>
        </w:tc>
        <w:tc>
          <w:tcPr>
            <w:tcW w:w="3194" w:type="dxa"/>
          </w:tcPr>
          <w:p>
            <w:pPr>
              <w:pStyle w:val="TableParagraph"/>
              <w:spacing w:line="180" w:lineRule="exact"/>
              <w:ind w:left="812" w:right="801"/>
              <w:jc w:val="center"/>
              <w:rPr>
                <w:sz w:val="18"/>
              </w:rPr>
            </w:pPr>
            <w:r>
              <w:rPr>
                <w:sz w:val="18"/>
              </w:rPr>
              <w:t>33000</w:t>
            </w:r>
          </w:p>
        </w:tc>
      </w:tr>
      <w:tr>
        <w:trPr>
          <w:trHeight w:val="200" w:hRule="atLeast"/>
        </w:trPr>
        <w:tc>
          <w:tcPr>
            <w:tcW w:w="2268" w:type="dxa"/>
          </w:tcPr>
          <w:p>
            <w:pPr>
              <w:pStyle w:val="TableParagraph"/>
              <w:spacing w:line="180" w:lineRule="exact"/>
              <w:ind w:left="10"/>
              <w:jc w:val="center"/>
              <w:rPr>
                <w:sz w:val="18"/>
              </w:rPr>
            </w:pPr>
            <w:r>
              <w:rPr>
                <w:sz w:val="18"/>
              </w:rPr>
              <w:t>G</w:t>
            </w:r>
          </w:p>
        </w:tc>
        <w:tc>
          <w:tcPr>
            <w:tcW w:w="3060" w:type="dxa"/>
          </w:tcPr>
          <w:p>
            <w:pPr>
              <w:pStyle w:val="TableParagraph"/>
              <w:spacing w:line="180" w:lineRule="exact"/>
              <w:ind w:left="1059" w:right="1050"/>
              <w:jc w:val="center"/>
              <w:rPr>
                <w:sz w:val="18"/>
              </w:rPr>
            </w:pPr>
            <w:r>
              <w:rPr>
                <w:sz w:val="18"/>
              </w:rPr>
              <w:t>二级工程师</w:t>
            </w:r>
          </w:p>
        </w:tc>
        <w:tc>
          <w:tcPr>
            <w:tcW w:w="3194" w:type="dxa"/>
          </w:tcPr>
          <w:p>
            <w:pPr>
              <w:pStyle w:val="TableParagraph"/>
              <w:spacing w:line="180" w:lineRule="exact"/>
              <w:ind w:left="812" w:right="801"/>
              <w:jc w:val="center"/>
              <w:rPr>
                <w:sz w:val="18"/>
              </w:rPr>
            </w:pPr>
            <w:r>
              <w:rPr>
                <w:sz w:val="18"/>
              </w:rPr>
              <w:t>37500</w:t>
            </w:r>
          </w:p>
        </w:tc>
      </w:tr>
      <w:tr>
        <w:trPr>
          <w:trHeight w:val="200" w:hRule="atLeast"/>
        </w:trPr>
        <w:tc>
          <w:tcPr>
            <w:tcW w:w="2268" w:type="dxa"/>
          </w:tcPr>
          <w:p>
            <w:pPr>
              <w:pStyle w:val="TableParagraph"/>
              <w:spacing w:line="180" w:lineRule="exact"/>
              <w:ind w:left="10"/>
              <w:jc w:val="center"/>
              <w:rPr>
                <w:sz w:val="18"/>
              </w:rPr>
            </w:pPr>
            <w:r>
              <w:rPr>
                <w:sz w:val="18"/>
              </w:rPr>
              <w:t>G</w:t>
            </w:r>
          </w:p>
        </w:tc>
        <w:tc>
          <w:tcPr>
            <w:tcW w:w="3060" w:type="dxa"/>
          </w:tcPr>
          <w:p>
            <w:pPr>
              <w:pStyle w:val="TableParagraph"/>
              <w:spacing w:line="180" w:lineRule="exact"/>
              <w:ind w:left="1059" w:right="1050"/>
              <w:jc w:val="center"/>
              <w:rPr>
                <w:sz w:val="18"/>
              </w:rPr>
            </w:pPr>
            <w:r>
              <w:rPr>
                <w:sz w:val="18"/>
              </w:rPr>
              <w:t>二级工程师</w:t>
            </w:r>
          </w:p>
        </w:tc>
        <w:tc>
          <w:tcPr>
            <w:tcW w:w="3194" w:type="dxa"/>
          </w:tcPr>
          <w:p>
            <w:pPr>
              <w:pStyle w:val="TableParagraph"/>
              <w:spacing w:line="180" w:lineRule="exact"/>
              <w:ind w:left="812" w:right="801"/>
              <w:jc w:val="center"/>
              <w:rPr>
                <w:sz w:val="18"/>
              </w:rPr>
            </w:pPr>
            <w:r>
              <w:rPr>
                <w:sz w:val="18"/>
              </w:rPr>
              <w:t>37500</w:t>
            </w:r>
          </w:p>
        </w:tc>
      </w:tr>
      <w:tr>
        <w:trPr>
          <w:trHeight w:val="200" w:hRule="atLeast"/>
        </w:trPr>
        <w:tc>
          <w:tcPr>
            <w:tcW w:w="2268" w:type="dxa"/>
          </w:tcPr>
          <w:p>
            <w:pPr>
              <w:pStyle w:val="TableParagraph"/>
              <w:spacing w:line="180" w:lineRule="exact"/>
              <w:ind w:left="10"/>
              <w:jc w:val="center"/>
              <w:rPr>
                <w:sz w:val="18"/>
              </w:rPr>
            </w:pPr>
            <w:r>
              <w:rPr>
                <w:sz w:val="18"/>
              </w:rPr>
              <w:t>G</w:t>
            </w:r>
          </w:p>
        </w:tc>
        <w:tc>
          <w:tcPr>
            <w:tcW w:w="3060" w:type="dxa"/>
          </w:tcPr>
          <w:p>
            <w:pPr>
              <w:pStyle w:val="TableParagraph"/>
              <w:spacing w:line="180" w:lineRule="exact"/>
              <w:ind w:left="1059" w:right="1050"/>
              <w:jc w:val="center"/>
              <w:rPr>
                <w:sz w:val="18"/>
              </w:rPr>
            </w:pPr>
            <w:r>
              <w:rPr>
                <w:sz w:val="18"/>
              </w:rPr>
              <w:t>三级工程师</w:t>
            </w:r>
          </w:p>
        </w:tc>
        <w:tc>
          <w:tcPr>
            <w:tcW w:w="3194" w:type="dxa"/>
          </w:tcPr>
          <w:p>
            <w:pPr>
              <w:pStyle w:val="TableParagraph"/>
              <w:spacing w:line="180" w:lineRule="exact"/>
              <w:ind w:left="812" w:right="801"/>
              <w:jc w:val="center"/>
              <w:rPr>
                <w:sz w:val="18"/>
              </w:rPr>
            </w:pPr>
            <w:r>
              <w:rPr>
                <w:sz w:val="18"/>
              </w:rPr>
              <w:t>43500</w:t>
            </w:r>
          </w:p>
        </w:tc>
      </w:tr>
    </w:tbl>
    <w:p>
      <w:pPr>
        <w:pStyle w:val="BodyText"/>
        <w:spacing w:line="338" w:lineRule="auto" w:before="82"/>
        <w:ind w:right="126" w:firstLine="420"/>
      </w:pPr>
      <w:r>
        <w:rPr>
          <w:w w:val="95"/>
        </w:rPr>
        <w:t>在薪酬统计中，有几个主要的统计值是十分重要的：即样本的频数、中心趋势、变异。  </w:t>
      </w:r>
      <w:r>
        <w:rPr/>
        <w:t>下面我们将以上表的数据为例来加以讨论。</w:t>
      </w:r>
    </w:p>
    <w:p>
      <w:pPr>
        <w:pStyle w:val="ListParagraph"/>
        <w:numPr>
          <w:ilvl w:val="0"/>
          <w:numId w:val="3"/>
        </w:numPr>
        <w:tabs>
          <w:tab w:pos="1165" w:val="left" w:leader="none"/>
        </w:tabs>
        <w:spacing w:line="240" w:lineRule="auto" w:before="2" w:after="0"/>
        <w:ind w:left="1164" w:right="0" w:hanging="525"/>
        <w:jc w:val="left"/>
        <w:rPr>
          <w:sz w:val="21"/>
        </w:rPr>
      </w:pPr>
      <w:r>
        <w:rPr>
          <w:sz w:val="21"/>
        </w:rPr>
        <w:t>样本的频数</w:t>
      </w:r>
    </w:p>
    <w:p>
      <w:pPr>
        <w:pStyle w:val="BodyText"/>
        <w:spacing w:before="111"/>
        <w:ind w:left="640"/>
      </w:pPr>
      <w:r>
        <w:rPr/>
        <w:t>我们可以通过表格的形式来反映工资水平在一定范围内的人数。如表 6-4 可以帮助整理</w:t>
      </w:r>
    </w:p>
    <w:p>
      <w:pPr>
        <w:pStyle w:val="BodyText"/>
        <w:spacing w:before="110"/>
      </w:pPr>
      <w:r>
        <w:rPr/>
        <w:t>资料，使决策者熟悉资料，还可以发现一些异常观测值。表 6-4 反映多数工程师的年薪在</w:t>
      </w:r>
    </w:p>
    <w:p>
      <w:pPr>
        <w:spacing w:after="0"/>
        <w:sectPr>
          <w:pgSz w:w="11910" w:h="16840"/>
          <w:pgMar w:header="852" w:footer="1900" w:top="1820" w:bottom="2100" w:left="1580" w:right="1580"/>
        </w:sectPr>
      </w:pPr>
    </w:p>
    <w:p>
      <w:pPr>
        <w:pStyle w:val="BodyText"/>
        <w:spacing w:before="161"/>
      </w:pPr>
      <w:r>
        <w:rPr/>
        <w:t>30000</w:t>
      </w:r>
      <w:r>
        <w:rPr>
          <w:spacing w:val="-28"/>
        </w:rPr>
        <w:t> 元到 </w:t>
      </w:r>
      <w:r>
        <w:rPr/>
        <w:t>40000</w:t>
      </w:r>
      <w:r>
        <w:rPr>
          <w:spacing w:val="-13"/>
        </w:rPr>
        <w:t> 元之间，少数人的年薪在 </w:t>
      </w:r>
      <w:r>
        <w:rPr/>
        <w:t>40000</w:t>
      </w:r>
      <w:r>
        <w:rPr>
          <w:spacing w:val="-28"/>
        </w:rPr>
        <w:t> 元到 </w:t>
      </w:r>
      <w:r>
        <w:rPr/>
        <w:t>45000</w:t>
      </w:r>
      <w:r>
        <w:rPr>
          <w:spacing w:val="-18"/>
        </w:rPr>
        <w:t> 元之间，只有 </w:t>
      </w:r>
      <w:r>
        <w:rPr/>
        <w:t>1</w:t>
      </w:r>
      <w:r>
        <w:rPr>
          <w:spacing w:val="-9"/>
        </w:rPr>
        <w:t> 名工程师的年</w:t>
      </w:r>
    </w:p>
    <w:p>
      <w:pPr>
        <w:pStyle w:val="BodyText"/>
        <w:spacing w:line="340" w:lineRule="auto" w:before="110"/>
        <w:ind w:right="219"/>
      </w:pPr>
      <w:r>
        <w:rPr>
          <w:spacing w:val="-16"/>
        </w:rPr>
        <w:t>薪高于 </w:t>
      </w:r>
      <w:r>
        <w:rPr/>
        <w:t>45000</w:t>
      </w:r>
      <w:r>
        <w:rPr>
          <w:spacing w:val="-14"/>
        </w:rPr>
        <w:t> 元，这可能是一个异常数据，需要进行进一步的分析和观察，找到可能的解释原因。</w:t>
      </w:r>
    </w:p>
    <w:p>
      <w:pPr>
        <w:spacing w:line="148" w:lineRule="exact" w:before="0"/>
        <w:ind w:left="0" w:right="0" w:firstLine="0"/>
        <w:jc w:val="center"/>
        <w:rPr>
          <w:sz w:val="18"/>
        </w:rPr>
      </w:pPr>
      <w:r>
        <w:rPr>
          <w:sz w:val="18"/>
        </w:rPr>
        <w:t>表 6-4 工程师学历工资的频数分布表</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1"/>
        <w:gridCol w:w="4261"/>
      </w:tblGrid>
      <w:tr>
        <w:trPr>
          <w:trHeight w:val="240" w:hRule="atLeast"/>
        </w:trPr>
        <w:tc>
          <w:tcPr>
            <w:tcW w:w="4261" w:type="dxa"/>
          </w:tcPr>
          <w:p>
            <w:pPr>
              <w:pStyle w:val="TableParagraph"/>
              <w:spacing w:line="211" w:lineRule="exact" w:before="9"/>
              <w:ind w:left="1709" w:right="1703"/>
              <w:jc w:val="center"/>
              <w:rPr>
                <w:sz w:val="18"/>
              </w:rPr>
            </w:pPr>
            <w:r>
              <w:rPr>
                <w:sz w:val="18"/>
              </w:rPr>
              <w:t>工资范围</w:t>
            </w:r>
          </w:p>
        </w:tc>
        <w:tc>
          <w:tcPr>
            <w:tcW w:w="4261" w:type="dxa"/>
          </w:tcPr>
          <w:p>
            <w:pPr>
              <w:pStyle w:val="TableParagraph"/>
              <w:spacing w:line="211" w:lineRule="exact" w:before="9"/>
              <w:ind w:left="1709" w:right="1701"/>
              <w:jc w:val="center"/>
              <w:rPr>
                <w:sz w:val="18"/>
              </w:rPr>
            </w:pPr>
            <w:r>
              <w:rPr>
                <w:sz w:val="18"/>
              </w:rPr>
              <w:t>人数</w:t>
            </w:r>
          </w:p>
        </w:tc>
      </w:tr>
      <w:tr>
        <w:trPr>
          <w:trHeight w:val="240" w:hRule="atLeast"/>
        </w:trPr>
        <w:tc>
          <w:tcPr>
            <w:tcW w:w="4261" w:type="dxa"/>
          </w:tcPr>
          <w:p>
            <w:pPr>
              <w:pStyle w:val="TableParagraph"/>
              <w:spacing w:line="211" w:lineRule="exact" w:before="8"/>
              <w:ind w:left="0" w:right="1624"/>
              <w:jc w:val="right"/>
              <w:rPr>
                <w:sz w:val="18"/>
              </w:rPr>
            </w:pPr>
            <w:r>
              <w:rPr>
                <w:sz w:val="18"/>
              </w:rPr>
              <w:t>30000-35000</w:t>
            </w:r>
          </w:p>
        </w:tc>
        <w:tc>
          <w:tcPr>
            <w:tcW w:w="4261" w:type="dxa"/>
          </w:tcPr>
          <w:p>
            <w:pPr>
              <w:pStyle w:val="TableParagraph"/>
              <w:spacing w:line="211" w:lineRule="exact" w:before="8"/>
              <w:ind w:left="1709" w:right="1702"/>
              <w:jc w:val="center"/>
              <w:rPr>
                <w:sz w:val="18"/>
              </w:rPr>
            </w:pPr>
            <w:r>
              <w:rPr>
                <w:sz w:val="18"/>
              </w:rPr>
              <w:t>11</w:t>
            </w:r>
          </w:p>
        </w:tc>
      </w:tr>
      <w:tr>
        <w:trPr>
          <w:trHeight w:val="240" w:hRule="atLeast"/>
        </w:trPr>
        <w:tc>
          <w:tcPr>
            <w:tcW w:w="4261" w:type="dxa"/>
          </w:tcPr>
          <w:p>
            <w:pPr>
              <w:pStyle w:val="TableParagraph"/>
              <w:spacing w:line="212" w:lineRule="exact" w:before="8"/>
              <w:ind w:left="0" w:right="1624"/>
              <w:jc w:val="right"/>
              <w:rPr>
                <w:sz w:val="18"/>
              </w:rPr>
            </w:pPr>
            <w:r>
              <w:rPr>
                <w:sz w:val="18"/>
              </w:rPr>
              <w:t>35001-40000</w:t>
            </w:r>
          </w:p>
        </w:tc>
        <w:tc>
          <w:tcPr>
            <w:tcW w:w="4261" w:type="dxa"/>
          </w:tcPr>
          <w:p>
            <w:pPr>
              <w:pStyle w:val="TableParagraph"/>
              <w:spacing w:line="212" w:lineRule="exact" w:before="8"/>
              <w:ind w:left="1709" w:right="1702"/>
              <w:jc w:val="center"/>
              <w:rPr>
                <w:sz w:val="18"/>
              </w:rPr>
            </w:pPr>
            <w:r>
              <w:rPr>
                <w:sz w:val="18"/>
              </w:rPr>
              <w:t>14</w:t>
            </w:r>
          </w:p>
        </w:tc>
      </w:tr>
      <w:tr>
        <w:trPr>
          <w:trHeight w:val="240" w:hRule="atLeast"/>
        </w:trPr>
        <w:tc>
          <w:tcPr>
            <w:tcW w:w="4261" w:type="dxa"/>
          </w:tcPr>
          <w:p>
            <w:pPr>
              <w:pStyle w:val="TableParagraph"/>
              <w:spacing w:line="212" w:lineRule="exact" w:before="8"/>
              <w:ind w:left="0" w:right="1624"/>
              <w:jc w:val="right"/>
              <w:rPr>
                <w:sz w:val="18"/>
              </w:rPr>
            </w:pPr>
            <w:r>
              <w:rPr>
                <w:sz w:val="18"/>
              </w:rPr>
              <w:t>40001-45000</w:t>
            </w:r>
          </w:p>
        </w:tc>
        <w:tc>
          <w:tcPr>
            <w:tcW w:w="4261" w:type="dxa"/>
          </w:tcPr>
          <w:p>
            <w:pPr>
              <w:pStyle w:val="TableParagraph"/>
              <w:spacing w:line="212" w:lineRule="exact" w:before="8"/>
              <w:ind w:left="7"/>
              <w:jc w:val="center"/>
              <w:rPr>
                <w:sz w:val="18"/>
              </w:rPr>
            </w:pPr>
            <w:r>
              <w:rPr>
                <w:sz w:val="18"/>
              </w:rPr>
              <w:t>9</w:t>
            </w:r>
          </w:p>
        </w:tc>
      </w:tr>
      <w:tr>
        <w:trPr>
          <w:trHeight w:val="240" w:hRule="atLeast"/>
        </w:trPr>
        <w:tc>
          <w:tcPr>
            <w:tcW w:w="4261" w:type="dxa"/>
          </w:tcPr>
          <w:p>
            <w:pPr>
              <w:pStyle w:val="TableParagraph"/>
              <w:spacing w:line="212" w:lineRule="exact" w:before="7"/>
              <w:ind w:left="1490" w:right="1742"/>
              <w:jc w:val="center"/>
              <w:rPr>
                <w:sz w:val="18"/>
              </w:rPr>
            </w:pPr>
            <w:r>
              <w:rPr>
                <w:sz w:val="18"/>
              </w:rPr>
              <w:t>45001+</w:t>
            </w:r>
          </w:p>
        </w:tc>
        <w:tc>
          <w:tcPr>
            <w:tcW w:w="4261" w:type="dxa"/>
          </w:tcPr>
          <w:p>
            <w:pPr>
              <w:pStyle w:val="TableParagraph"/>
              <w:spacing w:line="212" w:lineRule="exact" w:before="7"/>
              <w:ind w:left="7"/>
              <w:jc w:val="center"/>
              <w:rPr>
                <w:sz w:val="18"/>
              </w:rPr>
            </w:pPr>
            <w:r>
              <w:rPr>
                <w:sz w:val="18"/>
              </w:rPr>
              <w:t>1</w:t>
            </w:r>
          </w:p>
        </w:tc>
      </w:tr>
    </w:tbl>
    <w:p>
      <w:pPr>
        <w:pStyle w:val="ListParagraph"/>
        <w:numPr>
          <w:ilvl w:val="0"/>
          <w:numId w:val="3"/>
        </w:numPr>
        <w:tabs>
          <w:tab w:pos="1165" w:val="left" w:leader="none"/>
        </w:tabs>
        <w:spacing w:line="240" w:lineRule="auto" w:before="90" w:after="0"/>
        <w:ind w:left="1164" w:right="0" w:hanging="525"/>
        <w:jc w:val="left"/>
        <w:rPr>
          <w:sz w:val="21"/>
        </w:rPr>
      </w:pPr>
      <w:r>
        <w:rPr>
          <w:sz w:val="21"/>
        </w:rPr>
        <w:t>中心趋势</w:t>
      </w:r>
    </w:p>
    <w:p>
      <w:pPr>
        <w:pStyle w:val="BodyText"/>
        <w:spacing w:line="340" w:lineRule="auto" w:before="110"/>
        <w:ind w:right="219" w:firstLine="420"/>
      </w:pPr>
      <w:r>
        <w:rPr>
          <w:spacing w:val="-5"/>
          <w:w w:val="95"/>
        </w:rPr>
        <w:t>中心趋势是描述一组数据集中在一个中点周围，或以一点为中心的状态。中心趋势常用  </w:t>
      </w:r>
      <w:r>
        <w:rPr>
          <w:spacing w:val="-5"/>
        </w:rPr>
        <w:t>算术平均数（通常称为平均数）和中位数来表示。</w:t>
      </w:r>
    </w:p>
    <w:p>
      <w:pPr>
        <w:pStyle w:val="BodyText"/>
        <w:spacing w:line="338" w:lineRule="auto"/>
        <w:ind w:right="219" w:firstLine="420"/>
        <w:jc w:val="both"/>
      </w:pPr>
      <w:r>
        <w:rPr>
          <w:spacing w:val="-2"/>
        </w:rPr>
        <w:t>算术平均数是所有观测数值之和除以样本数。在本例中，工程师的平均年薪是 </w:t>
      </w:r>
      <w:r>
        <w:rPr/>
        <w:t>35</w:t>
      </w:r>
      <w:r>
        <w:rPr>
          <w:spacing w:val="-21"/>
        </w:rPr>
        <w:t> 个人的年薪总值（1337500</w:t>
      </w:r>
      <w:r>
        <w:rPr>
          <w:spacing w:val="-30"/>
        </w:rPr>
        <w:t> 元</w:t>
      </w:r>
      <w:r>
        <w:rPr/>
        <w:t>）</w:t>
      </w:r>
      <w:r>
        <w:rPr>
          <w:spacing w:val="-19"/>
        </w:rPr>
        <w:t>除以 </w:t>
      </w:r>
      <w:r>
        <w:rPr/>
        <w:t>35</w:t>
      </w:r>
      <w:r>
        <w:rPr>
          <w:spacing w:val="-7"/>
        </w:rPr>
        <w:t>，其平均年薪是 </w:t>
      </w:r>
      <w:r>
        <w:rPr/>
        <w:t>38214.29</w:t>
      </w:r>
      <w:r>
        <w:rPr>
          <w:spacing w:val="-8"/>
        </w:rPr>
        <w:t> 元。在这个例子中，薪酬专业</w:t>
      </w:r>
      <w:r>
        <w:rPr>
          <w:spacing w:val="-12"/>
          <w:w w:val="95"/>
        </w:rPr>
        <w:t>人员可以通过平均数了解工程师的现行市场平均工资水平。但是我们在计算平均数时也应该   </w:t>
      </w:r>
      <w:r>
        <w:rPr>
          <w:spacing w:val="-14"/>
          <w:w w:val="95"/>
        </w:rPr>
        <w:t>注意到异常数据的影响，有时一个或者几个异常数据会导致得出的平均数没有代表性。如果   </w:t>
      </w:r>
      <w:r>
        <w:rPr>
          <w:spacing w:val="-17"/>
          <w:w w:val="95"/>
        </w:rPr>
        <w:t>一个或几个特别小的数据会导致平均数低于真实的典型指标；反之，一个或几个特别大的数   </w:t>
      </w:r>
      <w:r>
        <w:rPr>
          <w:spacing w:val="-17"/>
        </w:rPr>
        <w:t>据会导致平均数高于真实的典型指标。因此，薪酬专业人员尤其应该注意异常的数据。</w:t>
      </w:r>
    </w:p>
    <w:p>
      <w:pPr>
        <w:pStyle w:val="BodyText"/>
        <w:spacing w:line="338" w:lineRule="auto"/>
        <w:ind w:right="218" w:firstLine="420"/>
      </w:pPr>
      <w:r>
        <w:rPr/>
        <w:t>中位数是指把所有的数据从小到大排列位于数据正中间的数据，如果数据的数量是奇</w:t>
      </w:r>
      <w:r>
        <w:rPr>
          <w:spacing w:val="-8"/>
        </w:rPr>
        <w:t>数，排列在正中间的那个数据就是中位数，如在本例中观测数据就是奇数，中位数是 </w:t>
      </w:r>
      <w:r>
        <w:rPr/>
        <w:t>36000 </w:t>
      </w:r>
      <w:r>
        <w:rPr>
          <w:spacing w:val="-9"/>
          <w:w w:val="95"/>
        </w:rPr>
        <w:t>元。如果是偶数，中位数就是两个居中数据的算术平均值。中位数不会像平均数那样失去代   </w:t>
      </w:r>
      <w:r>
        <w:rPr>
          <w:spacing w:val="-9"/>
        </w:rPr>
        <w:t>表性，因为它的计算不会受到每个观测数据大小的影响。</w:t>
      </w:r>
    </w:p>
    <w:p>
      <w:pPr>
        <w:pStyle w:val="ListParagraph"/>
        <w:numPr>
          <w:ilvl w:val="0"/>
          <w:numId w:val="3"/>
        </w:numPr>
        <w:tabs>
          <w:tab w:pos="1165" w:val="left" w:leader="none"/>
        </w:tabs>
        <w:spacing w:line="240" w:lineRule="auto" w:before="2" w:after="0"/>
        <w:ind w:left="1164" w:right="0" w:hanging="525"/>
        <w:jc w:val="left"/>
        <w:rPr>
          <w:sz w:val="21"/>
        </w:rPr>
      </w:pPr>
      <w:r>
        <w:rPr>
          <w:sz w:val="21"/>
        </w:rPr>
        <w:t>变异</w:t>
      </w:r>
    </w:p>
    <w:p>
      <w:pPr>
        <w:pStyle w:val="BodyText"/>
        <w:spacing w:line="338" w:lineRule="auto" w:before="113"/>
        <w:ind w:right="232" w:firstLine="420"/>
      </w:pPr>
      <w:r>
        <w:rPr>
          <w:w w:val="95"/>
        </w:rPr>
        <w:t>变异（Variation）在薪酬调查中经常用来描述数据组的离散程度或差异状况。薪酬调  </w:t>
      </w:r>
      <w:r>
        <w:rPr/>
        <w:t>查人员常常采用三种离散指标：标准差、四分位数和百分位数。</w:t>
      </w:r>
    </w:p>
    <w:p>
      <w:pPr>
        <w:pStyle w:val="BodyText"/>
        <w:spacing w:line="340" w:lineRule="auto"/>
        <w:ind w:right="219" w:firstLine="420"/>
      </w:pPr>
      <w:r>
        <w:rPr>
          <w:spacing w:val="-5"/>
        </w:rPr>
        <w:t>标准差</w:t>
      </w:r>
      <w:r>
        <w:rPr/>
        <w:t>（Standard</w:t>
      </w:r>
      <w:r>
        <w:rPr>
          <w:spacing w:val="-77"/>
        </w:rPr>
        <w:t> </w:t>
      </w:r>
      <w:r>
        <w:rPr/>
        <w:t>deviation）</w:t>
      </w:r>
      <w:r>
        <w:rPr>
          <w:spacing w:val="-1"/>
        </w:rPr>
        <w:t>是每个观测值与平均数之间的差异的平均数。以本节中的工程师为例，其年薪的标准差计算如下：</w:t>
      </w:r>
    </w:p>
    <w:p>
      <w:pPr>
        <w:pStyle w:val="BodyText"/>
        <w:spacing w:before="2"/>
        <w:ind w:left="0"/>
        <w:rPr>
          <w:sz w:val="23"/>
        </w:rPr>
      </w:pPr>
    </w:p>
    <w:p>
      <w:pPr>
        <w:spacing w:before="105"/>
        <w:ind w:left="1859" w:right="0" w:firstLine="0"/>
        <w:jc w:val="left"/>
        <w:rPr>
          <w:rFonts w:ascii="Symbol" w:hAnsi="Symbol"/>
          <w:sz w:val="18"/>
        </w:rPr>
      </w:pPr>
      <w:r>
        <w:rPr/>
        <w:pict>
          <v:group style="position:absolute;margin-left:198.864502pt;margin-top:-13.092165pt;width:57.3pt;height:36.550pt;mso-position-horizontal-relative:page;mso-position-vertical-relative:paragraph;z-index:251664384" coordorigin="3977,-262" coordsize="1146,731">
            <v:line style="position:absolute" from="3981,182" to="4006,168" stroked="true" strokeweight=".391pt" strokecolor="#000000">
              <v:stroke dashstyle="solid"/>
            </v:line>
            <v:line style="position:absolute" from="4006,172" to="4041,435" stroked="true" strokeweight=".781pt" strokecolor="#000000">
              <v:stroke dashstyle="solid"/>
            </v:line>
            <v:shape style="position:absolute;left:4045;top:-7123;width:1075;height:694" coordorigin="4045,-7122" coordsize="1075,694" path="m4045,435l4092,-258m4092,-258l5119,-258e" filled="false" stroked="true" strokeweight=".391pt" strokecolor="#000000">
              <v:path arrowok="t"/>
              <v:stroke dashstyle="solid"/>
            </v:shape>
            <v:shape style="position:absolute;left:4118;top:-238;width:218;height:386" type="#_x0000_t202" filled="false" stroked="false">
              <v:textbox inset="0,0,0,0">
                <w:txbxContent>
                  <w:p>
                    <w:pPr>
                      <w:spacing w:line="83" w:lineRule="exact" w:before="2"/>
                      <w:ind w:left="72" w:right="0" w:firstLine="0"/>
                      <w:jc w:val="left"/>
                      <w:rPr>
                        <w:rFonts w:ascii="Times New Roman"/>
                        <w:sz w:val="10"/>
                      </w:rPr>
                    </w:pPr>
                    <w:r>
                      <w:rPr>
                        <w:rFonts w:ascii="Times New Roman"/>
                        <w:w w:val="107"/>
                        <w:sz w:val="10"/>
                      </w:rPr>
                      <w:t>n</w:t>
                    </w:r>
                  </w:p>
                  <w:p>
                    <w:pPr>
                      <w:spacing w:line="298" w:lineRule="exact" w:before="0"/>
                      <w:ind w:left="0" w:right="0" w:firstLine="0"/>
                      <w:jc w:val="left"/>
                      <w:rPr>
                        <w:rFonts w:ascii="Symbol" w:hAnsi="Symbol"/>
                        <w:sz w:val="27"/>
                      </w:rPr>
                    </w:pPr>
                    <w:r>
                      <w:rPr>
                        <w:rFonts w:ascii="Symbol" w:hAnsi="Symbol"/>
                        <w:w w:val="102"/>
                        <w:sz w:val="27"/>
                      </w:rPr>
                      <w:t></w:t>
                    </w:r>
                  </w:p>
                </w:txbxContent>
              </v:textbox>
              <w10:wrap type="none"/>
            </v:shape>
            <v:shape style="position:absolute;left:4346;top:-141;width:670;height:226" type="#_x0000_t202" filled="false" stroked="false">
              <v:textbox inset="0,0,0,0">
                <w:txbxContent>
                  <w:p>
                    <w:pPr>
                      <w:spacing w:before="4"/>
                      <w:ind w:left="0" w:right="0" w:firstLine="0"/>
                      <w:jc w:val="left"/>
                      <w:rPr>
                        <w:rFonts w:ascii="Times New Roman" w:hAnsi="Times New Roman"/>
                        <w:sz w:val="18"/>
                      </w:rPr>
                    </w:pPr>
                    <w:r>
                      <w:rPr>
                        <w:rFonts w:ascii="Times New Roman" w:hAnsi="Times New Roman"/>
                        <w:sz w:val="18"/>
                      </w:rPr>
                      <w:t>X </w:t>
                    </w:r>
                    <w:r>
                      <w:rPr>
                        <w:rFonts w:ascii="Symbol" w:hAnsi="Symbol"/>
                        <w:sz w:val="18"/>
                      </w:rPr>
                      <w:t></w:t>
                    </w:r>
                    <w:r>
                      <w:rPr>
                        <w:rFonts w:ascii="Times New Roman" w:hAnsi="Times New Roman"/>
                        <w:sz w:val="18"/>
                      </w:rPr>
                      <w:t> nM</w:t>
                    </w:r>
                  </w:p>
                </w:txbxContent>
              </v:textbox>
              <w10:wrap type="none"/>
            </v:shape>
            <v:shape style="position:absolute;left:4496;top:-133;width:598;height:120" type="#_x0000_t202" filled="false" stroked="false">
              <v:textbox inset="0,0,0,0">
                <w:txbxContent>
                  <w:p>
                    <w:pPr>
                      <w:tabs>
                        <w:tab w:pos="523" w:val="left" w:leader="none"/>
                      </w:tabs>
                      <w:spacing w:before="2"/>
                      <w:ind w:left="0" w:right="0" w:firstLine="0"/>
                      <w:jc w:val="left"/>
                      <w:rPr>
                        <w:rFonts w:ascii="Times New Roman"/>
                        <w:sz w:val="10"/>
                      </w:rPr>
                    </w:pPr>
                    <w:r>
                      <w:rPr>
                        <w:rFonts w:ascii="Times New Roman"/>
                        <w:w w:val="110"/>
                        <w:sz w:val="10"/>
                      </w:rPr>
                      <w:t>2</w:t>
                      <w:tab/>
                      <w:t>2</w:t>
                    </w:r>
                  </w:p>
                </w:txbxContent>
              </v:textbox>
              <w10:wrap type="none"/>
            </v:shape>
            <v:shape style="position:absolute;left:4106;top:-5;width:1017;height:474" type="#_x0000_t202" filled="false" stroked="false">
              <v:textbox inset="0,0,0,0">
                <w:txbxContent>
                  <w:p>
                    <w:pPr>
                      <w:spacing w:before="2"/>
                      <w:ind w:left="0" w:right="212" w:firstLine="0"/>
                      <w:jc w:val="center"/>
                      <w:rPr>
                        <w:rFonts w:ascii="Times New Roman"/>
                        <w:sz w:val="10"/>
                      </w:rPr>
                    </w:pPr>
                    <w:r>
                      <w:rPr>
                        <w:rFonts w:ascii="Times New Roman"/>
                        <w:w w:val="107"/>
                        <w:sz w:val="10"/>
                      </w:rPr>
                      <w:t>i</w:t>
                    </w:r>
                  </w:p>
                  <w:p>
                    <w:pPr>
                      <w:tabs>
                        <w:tab w:pos="996" w:val="left" w:leader="none"/>
                      </w:tabs>
                      <w:spacing w:before="7"/>
                      <w:ind w:left="0" w:right="18" w:firstLine="0"/>
                      <w:jc w:val="center"/>
                      <w:rPr>
                        <w:rFonts w:ascii="Times New Roman" w:hAnsi="Times New Roman"/>
                        <w:sz w:val="10"/>
                      </w:rPr>
                    </w:pPr>
                    <w:r>
                      <w:rPr>
                        <w:rFonts w:ascii="Times New Roman" w:hAnsi="Times New Roman"/>
                        <w:w w:val="107"/>
                        <w:sz w:val="10"/>
                        <w:u w:val="single"/>
                      </w:rPr>
                      <w:t> </w:t>
                    </w:r>
                    <w:r>
                      <w:rPr>
                        <w:rFonts w:ascii="Times New Roman" w:hAnsi="Times New Roman"/>
                        <w:spacing w:val="-7"/>
                        <w:sz w:val="10"/>
                        <w:u w:val="single"/>
                      </w:rPr>
                      <w:t> </w:t>
                    </w:r>
                    <w:r>
                      <w:rPr>
                        <w:rFonts w:ascii="Times New Roman" w:hAnsi="Times New Roman"/>
                        <w:w w:val="110"/>
                        <w:sz w:val="10"/>
                        <w:u w:val="single"/>
                      </w:rPr>
                      <w:t>i</w:t>
                    </w:r>
                    <w:r>
                      <w:rPr>
                        <w:rFonts w:ascii="Symbol" w:hAnsi="Symbol"/>
                        <w:w w:val="110"/>
                        <w:sz w:val="10"/>
                        <w:u w:val="single"/>
                      </w:rPr>
                      <w:t></w:t>
                    </w:r>
                    <w:r>
                      <w:rPr>
                        <w:rFonts w:ascii="Times New Roman" w:hAnsi="Times New Roman"/>
                        <w:w w:val="110"/>
                        <w:sz w:val="10"/>
                        <w:u w:val="single"/>
                      </w:rPr>
                      <w:t>1</w:t>
                    </w:r>
                    <w:r>
                      <w:rPr>
                        <w:rFonts w:ascii="Times New Roman" w:hAnsi="Times New Roman"/>
                        <w:sz w:val="10"/>
                        <w:u w:val="single"/>
                      </w:rPr>
                      <w:tab/>
                    </w:r>
                  </w:p>
                  <w:p>
                    <w:pPr>
                      <w:spacing w:before="5"/>
                      <w:ind w:left="0" w:right="1" w:firstLine="0"/>
                      <w:jc w:val="center"/>
                      <w:rPr>
                        <w:rFonts w:ascii="Times New Roman" w:hAnsi="Times New Roman"/>
                        <w:sz w:val="18"/>
                      </w:rPr>
                    </w:pPr>
                    <w:r>
                      <w:rPr>
                        <w:rFonts w:ascii="Times New Roman" w:hAnsi="Times New Roman"/>
                        <w:sz w:val="18"/>
                      </w:rPr>
                      <w:t>n </w:t>
                    </w:r>
                    <w:r>
                      <w:rPr>
                        <w:rFonts w:ascii="Symbol" w:hAnsi="Symbol"/>
                        <w:sz w:val="18"/>
                      </w:rPr>
                      <w:t></w:t>
                    </w:r>
                    <w:r>
                      <w:rPr>
                        <w:rFonts w:ascii="Times New Roman" w:hAnsi="Times New Roman"/>
                        <w:sz w:val="18"/>
                      </w:rPr>
                      <w:t>1</w:t>
                    </w:r>
                  </w:p>
                </w:txbxContent>
              </v:textbox>
              <w10:wrap type="none"/>
            </v:shape>
            <w10:wrap type="none"/>
          </v:group>
        </w:pict>
      </w:r>
      <w:r>
        <w:rPr>
          <w:rFonts w:ascii="Times New Roman" w:hAnsi="Times New Roman"/>
          <w:sz w:val="18"/>
        </w:rPr>
        <w:t>S.D. </w:t>
      </w:r>
      <w:r>
        <w:rPr>
          <w:rFonts w:ascii="Symbol" w:hAnsi="Symbol"/>
          <w:sz w:val="18"/>
        </w:rPr>
        <w:t></w:t>
      </w:r>
    </w:p>
    <w:p>
      <w:pPr>
        <w:pStyle w:val="BodyText"/>
        <w:ind w:left="0"/>
        <w:rPr>
          <w:rFonts w:ascii="Symbol" w:hAnsi="Symbol"/>
          <w:sz w:val="20"/>
        </w:rPr>
      </w:pPr>
    </w:p>
    <w:p>
      <w:pPr>
        <w:pStyle w:val="BodyText"/>
        <w:spacing w:before="3"/>
        <w:ind w:left="0"/>
        <w:rPr>
          <w:rFonts w:ascii="Symbol" w:hAnsi="Symbol"/>
          <w:sz w:val="16"/>
        </w:rPr>
      </w:pPr>
    </w:p>
    <w:p>
      <w:pPr>
        <w:spacing w:line="255" w:lineRule="exact" w:before="70"/>
        <w:ind w:left="1688" w:right="0" w:firstLine="0"/>
        <w:jc w:val="left"/>
        <w:rPr>
          <w:rFonts w:ascii="Times New Roman" w:eastAsia="Times New Roman"/>
          <w:sz w:val="12"/>
        </w:rPr>
      </w:pPr>
      <w:r>
        <w:rPr>
          <w:spacing w:val="-79"/>
          <w:sz w:val="21"/>
        </w:rPr>
        <w:t>其中</w:t>
      </w:r>
      <w:r>
        <w:rPr>
          <w:rFonts w:ascii="Times New Roman" w:eastAsia="Times New Roman"/>
          <w:position w:val="-5"/>
          <w:sz w:val="12"/>
        </w:rPr>
        <w:t>n</w:t>
      </w:r>
    </w:p>
    <w:p>
      <w:pPr>
        <w:spacing w:line="296" w:lineRule="exact" w:before="0"/>
        <w:ind w:left="1870" w:right="0" w:firstLine="0"/>
        <w:jc w:val="left"/>
        <w:rPr>
          <w:sz w:val="20"/>
        </w:rPr>
      </w:pPr>
      <w:r>
        <w:rPr/>
        <w:pict>
          <v:shape style="position:absolute;margin-left:194.052002pt;margin-top:8.215744pt;width:1.7pt;height:6.7pt;mso-position-horizontal-relative:page;mso-position-vertical-relative:paragraph;z-index:-253296640" type="#_x0000_t202" filled="false" stroked="false">
            <v:textbox inset="0,0,0,0">
              <w:txbxContent>
                <w:p>
                  <w:pPr>
                    <w:spacing w:line="134" w:lineRule="exact" w:before="0"/>
                    <w:ind w:left="0" w:right="0" w:firstLine="0"/>
                    <w:jc w:val="left"/>
                    <w:rPr>
                      <w:rFonts w:ascii="Times New Roman"/>
                      <w:sz w:val="12"/>
                    </w:rPr>
                  </w:pPr>
                  <w:r>
                    <w:rPr>
                      <w:rFonts w:ascii="Times New Roman"/>
                      <w:w w:val="100"/>
                      <w:sz w:val="12"/>
                    </w:rPr>
                    <w:t>i</w:t>
                  </w:r>
                </w:p>
              </w:txbxContent>
            </v:textbox>
            <w10:wrap type="none"/>
          </v:shape>
        </w:pict>
      </w:r>
      <w:r>
        <w:rPr>
          <w:rFonts w:ascii="Symbol" w:hAnsi="Symbol" w:eastAsia="Symbol"/>
          <w:w w:val="105"/>
          <w:position w:val="-4"/>
          <w:sz w:val="31"/>
        </w:rPr>
        <w:t></w:t>
      </w:r>
      <w:r>
        <w:rPr>
          <w:rFonts w:ascii="Times New Roman" w:hAnsi="Times New Roman" w:eastAsia="Times New Roman"/>
          <w:w w:val="105"/>
          <w:sz w:val="20"/>
        </w:rPr>
        <w:t>X </w:t>
      </w:r>
      <w:r>
        <w:rPr>
          <w:rFonts w:ascii="Times New Roman" w:hAnsi="Times New Roman" w:eastAsia="Times New Roman"/>
          <w:w w:val="105"/>
          <w:sz w:val="20"/>
          <w:vertAlign w:val="superscript"/>
        </w:rPr>
        <w:t>2</w:t>
      </w:r>
      <w:r>
        <w:rPr>
          <w:rFonts w:ascii="Times New Roman" w:hAnsi="Times New Roman" w:eastAsia="Times New Roman"/>
          <w:w w:val="105"/>
          <w:sz w:val="20"/>
          <w:vertAlign w:val="baseline"/>
        </w:rPr>
        <w:t> </w:t>
      </w:r>
      <w:r>
        <w:rPr>
          <w:rFonts w:ascii="Symbol" w:hAnsi="Symbol" w:eastAsia="Symbol"/>
          <w:w w:val="105"/>
          <w:sz w:val="20"/>
          <w:vertAlign w:val="baseline"/>
        </w:rPr>
        <w:t></w:t>
      </w:r>
      <w:r>
        <w:rPr>
          <w:rFonts w:ascii="Times New Roman" w:hAnsi="Times New Roman" w:eastAsia="Times New Roman"/>
          <w:w w:val="105"/>
          <w:sz w:val="20"/>
          <w:vertAlign w:val="baseline"/>
        </w:rPr>
        <w:t> </w:t>
      </w:r>
      <w:r>
        <w:rPr>
          <w:w w:val="105"/>
          <w:sz w:val="20"/>
          <w:vertAlign w:val="baseline"/>
        </w:rPr>
        <w:t>个人工资观测值平方总和</w:t>
      </w:r>
    </w:p>
    <w:p>
      <w:pPr>
        <w:spacing w:before="1"/>
        <w:ind w:left="1901" w:right="0" w:firstLine="0"/>
        <w:jc w:val="left"/>
        <w:rPr>
          <w:rFonts w:ascii="Times New Roman" w:hAnsi="Times New Roman"/>
          <w:sz w:val="12"/>
        </w:rPr>
      </w:pPr>
      <w:r>
        <w:rPr>
          <w:rFonts w:ascii="Times New Roman" w:hAnsi="Times New Roman"/>
          <w:sz w:val="12"/>
        </w:rPr>
        <w:t>i</w:t>
      </w:r>
      <w:r>
        <w:rPr>
          <w:rFonts w:ascii="Symbol" w:hAnsi="Symbol"/>
          <w:sz w:val="12"/>
        </w:rPr>
        <w:t></w:t>
      </w:r>
      <w:r>
        <w:rPr>
          <w:rFonts w:ascii="Times New Roman" w:hAnsi="Times New Roman"/>
          <w:sz w:val="12"/>
        </w:rPr>
        <w:t>1</w:t>
      </w:r>
    </w:p>
    <w:p>
      <w:pPr>
        <w:pStyle w:val="BodyText"/>
        <w:spacing w:line="338" w:lineRule="auto" w:before="62"/>
        <w:ind w:left="1900" w:right="860"/>
      </w:pPr>
      <w:r>
        <w:rPr>
          <w:spacing w:val="1"/>
          <w:w w:val="99"/>
        </w:rPr>
        <w:t>n</w:t>
      </w:r>
      <w:r>
        <w:rPr>
          <w:spacing w:val="-2"/>
          <w:w w:val="99"/>
        </w:rPr>
        <w:t>M</w:t>
      </w:r>
      <w:r>
        <w:rPr>
          <w:spacing w:val="-1"/>
          <w:w w:val="106"/>
          <w:position w:val="11"/>
          <w:sz w:val="10"/>
        </w:rPr>
        <w:t>2</w:t>
      </w:r>
      <w:r>
        <w:rPr>
          <w:spacing w:val="-1"/>
          <w:w w:val="99"/>
        </w:rPr>
        <w:t>=样本大小（</w:t>
      </w:r>
      <w:r>
        <w:rPr>
          <w:spacing w:val="1"/>
          <w:w w:val="99"/>
        </w:rPr>
        <w:t>n,3</w:t>
      </w:r>
      <w:r>
        <w:rPr>
          <w:w w:val="99"/>
        </w:rPr>
        <w:t>5</w:t>
      </w:r>
      <w:r>
        <w:rPr>
          <w:spacing w:val="-54"/>
        </w:rPr>
        <w:t> </w:t>
      </w:r>
      <w:r>
        <w:rPr>
          <w:spacing w:val="-1"/>
          <w:w w:val="99"/>
        </w:rPr>
        <w:t>个工资数）</w:t>
      </w:r>
      <w:r>
        <w:rPr>
          <w:spacing w:val="1"/>
          <w:w w:val="99"/>
        </w:rPr>
        <w:t>乘以</w:t>
      </w:r>
      <w:r>
        <w:rPr>
          <w:spacing w:val="-50"/>
        </w:rPr>
        <w:t> </w:t>
      </w:r>
      <w:r>
        <w:rPr>
          <w:spacing w:val="1"/>
          <w:w w:val="99"/>
        </w:rPr>
        <w:t>3</w:t>
      </w:r>
      <w:r>
        <w:rPr>
          <w:w w:val="99"/>
        </w:rPr>
        <w:t>5</w:t>
      </w:r>
      <w:r>
        <w:rPr>
          <w:spacing w:val="-54"/>
        </w:rPr>
        <w:t> </w:t>
      </w:r>
      <w:r>
        <w:rPr>
          <w:spacing w:val="-1"/>
          <w:w w:val="99"/>
        </w:rPr>
        <w:t>个工资数的平均数的平方 </w:t>
      </w:r>
      <w:r>
        <w:rPr>
          <w:spacing w:val="-1"/>
        </w:rPr>
        <w:t>S.D.=5074.86</w:t>
      </w:r>
      <w:r>
        <w:rPr>
          <w:spacing w:val="-28"/>
        </w:rPr>
        <w:t> 元</w:t>
      </w:r>
    </w:p>
    <w:p>
      <w:pPr>
        <w:spacing w:after="0" w:line="338" w:lineRule="auto"/>
        <w:sectPr>
          <w:pgSz w:w="11910" w:h="16840"/>
          <w:pgMar w:header="852" w:footer="1900" w:top="1820" w:bottom="2100" w:left="1580" w:right="1580"/>
        </w:sectPr>
      </w:pPr>
    </w:p>
    <w:p>
      <w:pPr>
        <w:pStyle w:val="BodyText"/>
        <w:spacing w:line="338" w:lineRule="auto" w:before="161"/>
        <w:ind w:right="219" w:firstLine="420"/>
      </w:pPr>
      <w:r>
        <w:rPr>
          <w:spacing w:val="-4"/>
          <w:w w:val="95"/>
        </w:rPr>
        <w:t>计算出来的标准差对薪酬专业人员的作用表现在两个方面：第一标准差有助于判断个人  </w:t>
      </w:r>
      <w:r>
        <w:rPr>
          <w:spacing w:val="-6"/>
        </w:rPr>
        <w:t>工资和平均数之间的差别对于市场来说是否典型，即如某个姓李的工程师的年薪是 </w:t>
      </w:r>
      <w:r>
        <w:rPr/>
        <w:t>27500 </w:t>
      </w:r>
      <w:r>
        <w:rPr>
          <w:spacing w:val="-9"/>
          <w:w w:val="95"/>
        </w:rPr>
        <w:t>元，他的工资比典型的市场平均工资水平要低很多，李工程师的工资与市场的平均工资水平   </w:t>
      </w:r>
      <w:r>
        <w:rPr>
          <w:spacing w:val="-25"/>
        </w:rPr>
        <w:t>要低 </w:t>
      </w:r>
      <w:r>
        <w:rPr/>
        <w:t>10714.29</w:t>
      </w:r>
      <w:r>
        <w:rPr>
          <w:spacing w:val="-29"/>
        </w:rPr>
        <w:t> 元</w:t>
      </w:r>
      <w:r>
        <w:rPr/>
        <w:t>（38214.29（平均数）-27500）</w:t>
      </w:r>
      <w:r>
        <w:rPr>
          <w:spacing w:val="-8"/>
        </w:rPr>
        <w:t>，由于标准差是 </w:t>
      </w:r>
      <w:r>
        <w:rPr/>
        <w:t>5074.86</w:t>
      </w:r>
      <w:r>
        <w:rPr>
          <w:spacing w:val="-8"/>
        </w:rPr>
        <w:t> 元，因此李工程师的工资和平均数之间的差异超过了标准差，薪酬专业人员应该分析李工程师工资低的原</w:t>
      </w:r>
      <w:r>
        <w:rPr>
          <w:spacing w:val="-10"/>
          <w:w w:val="95"/>
        </w:rPr>
        <w:t>因，看是否应该进行调整。第二，标准差表明了市场工资水平的变动范围，大多数的工程师   </w:t>
      </w:r>
      <w:r>
        <w:rPr>
          <w:spacing w:val="-10"/>
        </w:rPr>
        <w:t>的工资应该在平均数加/</w:t>
      </w:r>
      <w:r>
        <w:rPr>
          <w:spacing w:val="-14"/>
        </w:rPr>
        <w:t>减标准差的范围内波动，即在 </w:t>
      </w:r>
      <w:r>
        <w:rPr/>
        <w:t>33139.43</w:t>
      </w:r>
      <w:r>
        <w:rPr>
          <w:spacing w:val="-29"/>
        </w:rPr>
        <w:t> 元</w:t>
      </w:r>
      <w:r>
        <w:rPr/>
        <w:t>（38214.29（平均数）</w:t>
      </w:r>
    </w:p>
    <w:p>
      <w:pPr>
        <w:pStyle w:val="BodyText"/>
        <w:spacing w:line="338" w:lineRule="auto" w:before="4"/>
        <w:ind w:right="219"/>
        <w:jc w:val="both"/>
      </w:pPr>
      <w:r>
        <w:rPr/>
        <w:t>-5074.86（标准差））</w:t>
      </w:r>
      <w:r>
        <w:rPr>
          <w:spacing w:val="-31"/>
        </w:rPr>
        <w:t>到 </w:t>
      </w:r>
      <w:r>
        <w:rPr/>
        <w:t>43289.15</w:t>
      </w:r>
      <w:r>
        <w:rPr>
          <w:spacing w:val="-31"/>
        </w:rPr>
        <w:t> 元</w:t>
      </w:r>
      <w:r>
        <w:rPr/>
        <w:t>（38214.29+5074.86）之间。薪酬专业人员可以利用</w:t>
      </w:r>
      <w:r>
        <w:rPr>
          <w:spacing w:val="-4"/>
          <w:w w:val="95"/>
        </w:rPr>
        <w:t>这个范围来判断本企业或公司的工程师工资范围是否和市场的工资范围类似：如果类似，则   </w:t>
      </w:r>
      <w:r>
        <w:rPr>
          <w:spacing w:val="-8"/>
          <w:w w:val="95"/>
        </w:rPr>
        <w:t>本公司或企业的工资范围就是市场典型的工资范围；如果大多数高于或低于这一范围，薪酬</w:t>
      </w:r>
    </w:p>
    <w:p>
      <w:pPr>
        <w:pStyle w:val="BodyText"/>
        <w:spacing w:before="2"/>
        <w:ind w:left="79" w:right="3974"/>
        <w:jc w:val="center"/>
      </w:pPr>
      <w:r>
        <w:rPr/>
        <w:t>专业人员应该根据本企业的薪酬战略进行调整。</w:t>
      </w:r>
    </w:p>
    <w:p>
      <w:pPr>
        <w:spacing w:before="29"/>
        <w:ind w:left="9" w:right="0" w:firstLine="0"/>
        <w:jc w:val="center"/>
        <w:rPr>
          <w:b/>
          <w:sz w:val="18"/>
        </w:rPr>
      </w:pPr>
      <w:r>
        <w:rPr>
          <w:b/>
          <w:sz w:val="18"/>
        </w:rPr>
        <w:t>表 6-5 工程师数据的四分位和百分位数</w:t>
      </w:r>
    </w:p>
    <w:p>
      <w:pPr>
        <w:pStyle w:val="BodyText"/>
        <w:spacing w:line="20" w:lineRule="exact"/>
        <w:ind w:left="107"/>
        <w:rPr>
          <w:sz w:val="2"/>
        </w:rPr>
      </w:pPr>
      <w:r>
        <w:rPr>
          <w:sz w:val="2"/>
        </w:rPr>
        <w:pict>
          <v:group style="width:426.1pt;height:.5pt;mso-position-horizontal-relative:char;mso-position-vertical-relative:line" coordorigin="0,0" coordsize="8522,10">
            <v:line style="position:absolute" from="0,5" to="8522,5" stroked="true" strokeweight=".48pt" strokecolor="#000000">
              <v:stroke dashstyle="solid"/>
            </v:line>
          </v:group>
        </w:pict>
      </w:r>
      <w:r>
        <w:rPr>
          <w:sz w:val="2"/>
        </w:rPr>
      </w:r>
    </w:p>
    <w:p>
      <w:pPr>
        <w:spacing w:line="230" w:lineRule="exact" w:before="0"/>
        <w:ind w:left="1307" w:right="0" w:firstLine="0"/>
        <w:jc w:val="left"/>
        <w:rPr>
          <w:sz w:val="18"/>
        </w:rPr>
      </w:pPr>
      <w:r>
        <w:rPr>
          <w:sz w:val="18"/>
        </w:rPr>
        <w:t>33000</w:t>
      </w:r>
    </w:p>
    <w:p>
      <w:pPr>
        <w:tabs>
          <w:tab w:pos="4107" w:val="left" w:leader="none"/>
        </w:tabs>
        <w:spacing w:before="9"/>
        <w:ind w:left="1307" w:right="0" w:firstLine="0"/>
        <w:jc w:val="left"/>
        <w:rPr>
          <w:sz w:val="18"/>
        </w:rPr>
      </w:pPr>
      <w:r>
        <w:rPr/>
        <w:pict>
          <v:shape style="position:absolute;margin-left:180pt;margin-top:2.760004pt;width:81pt;height:6pt;mso-position-horizontal-relative:page;mso-position-vertical-relative:paragraph;z-index:-253293568" coordorigin="3600,55" coordsize="1620,120" path="m3720,175l3600,115,3720,55,3720,108,3690,108,3690,123,3720,123,3720,175xm3720,123l3690,123,3690,108,3720,108,3720,123xm5220,123l3720,123,3720,108,5220,108,5220,123xe" filled="true" fillcolor="#000000" stroked="false">
            <v:path arrowok="t"/>
            <v:fill type="solid"/>
            <w10:wrap type="none"/>
          </v:shape>
        </w:pict>
      </w:r>
      <w:r>
        <w:rPr>
          <w:sz w:val="18"/>
        </w:rPr>
        <w:t>33000</w:t>
        <w:tab/>
      </w:r>
      <w:r>
        <w:rPr>
          <w:spacing w:val="-23"/>
          <w:sz w:val="18"/>
        </w:rPr>
        <w:t>第 </w:t>
      </w:r>
      <w:r>
        <w:rPr>
          <w:sz w:val="18"/>
        </w:rPr>
        <w:t>10</w:t>
      </w:r>
      <w:r>
        <w:rPr>
          <w:spacing w:val="-10"/>
          <w:sz w:val="18"/>
        </w:rPr>
        <w:t> 百分位数</w:t>
      </w:r>
    </w:p>
    <w:p>
      <w:pPr>
        <w:spacing w:before="9"/>
        <w:ind w:left="1307" w:right="0" w:firstLine="0"/>
        <w:jc w:val="left"/>
        <w:rPr>
          <w:sz w:val="18"/>
        </w:rPr>
      </w:pPr>
      <w:r>
        <w:rPr>
          <w:sz w:val="18"/>
        </w:rPr>
        <w:t>33000</w:t>
      </w:r>
    </w:p>
    <w:p>
      <w:pPr>
        <w:spacing w:before="10"/>
        <w:ind w:left="1307" w:right="0" w:firstLine="0"/>
        <w:jc w:val="left"/>
        <w:rPr>
          <w:sz w:val="18"/>
        </w:rPr>
      </w:pPr>
      <w:r>
        <w:rPr>
          <w:sz w:val="18"/>
        </w:rPr>
        <w:t>33000</w:t>
      </w:r>
    </w:p>
    <w:p>
      <w:pPr>
        <w:spacing w:before="9"/>
        <w:ind w:left="1307" w:right="0" w:firstLine="0"/>
        <w:jc w:val="left"/>
        <w:rPr>
          <w:sz w:val="18"/>
        </w:rPr>
      </w:pPr>
      <w:r>
        <w:rPr>
          <w:sz w:val="18"/>
        </w:rPr>
        <w:t>33000</w:t>
      </w:r>
    </w:p>
    <w:p>
      <w:pPr>
        <w:spacing w:before="10"/>
        <w:ind w:left="1307" w:right="0" w:firstLine="0"/>
        <w:jc w:val="left"/>
        <w:rPr>
          <w:sz w:val="18"/>
        </w:rPr>
      </w:pPr>
      <w:r>
        <w:rPr>
          <w:sz w:val="18"/>
        </w:rPr>
        <w:t>33000</w:t>
      </w:r>
    </w:p>
    <w:p>
      <w:pPr>
        <w:spacing w:before="9"/>
        <w:ind w:left="1307" w:right="0" w:firstLine="0"/>
        <w:jc w:val="left"/>
        <w:rPr>
          <w:sz w:val="18"/>
        </w:rPr>
      </w:pPr>
      <w:r>
        <w:rPr>
          <w:sz w:val="18"/>
        </w:rPr>
        <w:t>34500</w:t>
      </w:r>
    </w:p>
    <w:p>
      <w:pPr>
        <w:tabs>
          <w:tab w:pos="4107" w:val="left" w:leader="none"/>
        </w:tabs>
        <w:spacing w:before="9"/>
        <w:ind w:left="1307" w:right="0" w:firstLine="0"/>
        <w:jc w:val="left"/>
        <w:rPr>
          <w:sz w:val="18"/>
        </w:rPr>
      </w:pPr>
      <w:r>
        <w:rPr/>
        <w:pict>
          <v:shape style="position:absolute;margin-left:194.399994pt;margin-top:9.774004pt;width:84.65pt;height:6pt;mso-position-horizontal-relative:page;mso-position-vertical-relative:paragraph;z-index:-253292544" coordorigin="3888,195" coordsize="1693,120" path="m4008,315l3888,255,4008,195,4008,248,3978,248,3978,263,4008,263,4008,315xm4008,263l3978,263,3978,248,4008,248,4008,263xm4008,248l3978,248,4008,248,4008,248xm5580,267l4008,263,4008,248,5580,252,5580,267xe" filled="true" fillcolor="#000000" stroked="false">
            <v:path arrowok="t"/>
            <v:fill type="solid"/>
            <w10:wrap type="none"/>
          </v:shape>
        </w:pict>
      </w:r>
      <w:r>
        <w:rPr>
          <w:sz w:val="18"/>
        </w:rPr>
        <w:t>34500</w:t>
        <w:tab/>
      </w:r>
      <w:r>
        <w:rPr>
          <w:spacing w:val="-23"/>
          <w:sz w:val="18"/>
        </w:rPr>
        <w:t>第 </w:t>
      </w:r>
      <w:r>
        <w:rPr>
          <w:sz w:val="18"/>
        </w:rPr>
        <w:t>1</w:t>
      </w:r>
      <w:r>
        <w:rPr>
          <w:spacing w:val="-10"/>
          <w:sz w:val="18"/>
        </w:rPr>
        <w:t> 四分位数</w:t>
      </w:r>
    </w:p>
    <w:p>
      <w:pPr>
        <w:spacing w:before="10"/>
        <w:ind w:left="1307" w:right="0" w:firstLine="0"/>
        <w:jc w:val="left"/>
        <w:rPr>
          <w:sz w:val="18"/>
        </w:rPr>
      </w:pPr>
      <w:r>
        <w:rPr>
          <w:sz w:val="18"/>
        </w:rPr>
        <w:t>34500</w:t>
      </w:r>
    </w:p>
    <w:p>
      <w:pPr>
        <w:spacing w:before="9"/>
        <w:ind w:left="1307" w:right="0" w:firstLine="0"/>
        <w:jc w:val="left"/>
        <w:rPr>
          <w:sz w:val="18"/>
        </w:rPr>
      </w:pPr>
      <w:r>
        <w:rPr>
          <w:sz w:val="18"/>
        </w:rPr>
        <w:t>34500</w:t>
      </w:r>
    </w:p>
    <w:p>
      <w:pPr>
        <w:spacing w:before="9"/>
        <w:ind w:left="1307" w:right="0" w:firstLine="0"/>
        <w:jc w:val="left"/>
        <w:rPr>
          <w:sz w:val="18"/>
        </w:rPr>
      </w:pPr>
      <w:r>
        <w:rPr>
          <w:sz w:val="18"/>
        </w:rPr>
        <w:t>34500</w:t>
      </w:r>
    </w:p>
    <w:p>
      <w:pPr>
        <w:spacing w:before="10"/>
        <w:ind w:left="1307" w:right="0" w:firstLine="0"/>
        <w:jc w:val="left"/>
        <w:rPr>
          <w:sz w:val="18"/>
        </w:rPr>
      </w:pPr>
      <w:r>
        <w:rPr>
          <w:sz w:val="18"/>
        </w:rPr>
        <w:t>36000</w:t>
      </w:r>
    </w:p>
    <w:p>
      <w:pPr>
        <w:spacing w:before="9"/>
        <w:ind w:left="1307" w:right="0" w:firstLine="0"/>
        <w:jc w:val="left"/>
        <w:rPr>
          <w:sz w:val="18"/>
        </w:rPr>
      </w:pPr>
      <w:r>
        <w:rPr>
          <w:sz w:val="18"/>
        </w:rPr>
        <w:t>36000</w:t>
      </w:r>
    </w:p>
    <w:p>
      <w:pPr>
        <w:spacing w:before="10"/>
        <w:ind w:left="1307" w:right="0" w:firstLine="0"/>
        <w:jc w:val="left"/>
        <w:rPr>
          <w:sz w:val="18"/>
        </w:rPr>
      </w:pPr>
      <w:r>
        <w:rPr>
          <w:sz w:val="18"/>
        </w:rPr>
        <w:t>36000</w:t>
      </w:r>
    </w:p>
    <w:p>
      <w:pPr>
        <w:spacing w:before="9"/>
        <w:ind w:left="1307" w:right="0" w:firstLine="0"/>
        <w:jc w:val="left"/>
        <w:rPr>
          <w:sz w:val="18"/>
        </w:rPr>
      </w:pPr>
      <w:r>
        <w:rPr>
          <w:sz w:val="18"/>
        </w:rPr>
        <w:t>36000</w:t>
      </w:r>
    </w:p>
    <w:p>
      <w:pPr>
        <w:spacing w:before="9"/>
        <w:ind w:left="1307" w:right="0" w:firstLine="0"/>
        <w:jc w:val="left"/>
        <w:rPr>
          <w:sz w:val="18"/>
        </w:rPr>
      </w:pPr>
      <w:r>
        <w:rPr>
          <w:sz w:val="18"/>
        </w:rPr>
        <w:t>36000</w:t>
      </w:r>
    </w:p>
    <w:p>
      <w:pPr>
        <w:tabs>
          <w:tab w:pos="4107" w:val="left" w:leader="none"/>
        </w:tabs>
        <w:spacing w:before="10"/>
        <w:ind w:left="1307" w:right="0" w:firstLine="0"/>
        <w:jc w:val="left"/>
        <w:rPr>
          <w:sz w:val="18"/>
        </w:rPr>
      </w:pPr>
      <w:r>
        <w:rPr/>
        <w:pict>
          <v:shape style="position:absolute;margin-left:189pt;margin-top:6.724004pt;width:84.65pt;height:6pt;mso-position-horizontal-relative:page;mso-position-vertical-relative:paragraph;z-index:-253291520" coordorigin="3780,134" coordsize="1693,120" path="m3900,254l3780,194,3900,134,3900,187,3870,187,3870,202,3900,202,3900,254xm3900,202l3870,202,3870,187,3900,187,3900,202xm3900,187l3870,187,3900,187,3900,187xm5472,206l3900,202,3900,187,5472,191,5472,206xe" filled="true" fillcolor="#000000" stroked="false">
            <v:path arrowok="t"/>
            <v:fill type="solid"/>
            <w10:wrap type="none"/>
          </v:shape>
        </w:pict>
      </w:r>
      <w:r>
        <w:rPr>
          <w:sz w:val="18"/>
        </w:rPr>
        <w:t>36000</w:t>
        <w:tab/>
      </w:r>
      <w:r>
        <w:rPr>
          <w:spacing w:val="-23"/>
          <w:sz w:val="18"/>
        </w:rPr>
        <w:t>第 </w:t>
      </w:r>
      <w:r>
        <w:rPr>
          <w:sz w:val="18"/>
        </w:rPr>
        <w:t>2</w:t>
      </w:r>
      <w:r>
        <w:rPr>
          <w:spacing w:val="-10"/>
          <w:sz w:val="18"/>
        </w:rPr>
        <w:t> 四分位数</w:t>
      </w:r>
      <w:r>
        <w:rPr>
          <w:sz w:val="18"/>
        </w:rPr>
        <w:t>（</w:t>
      </w:r>
      <w:r>
        <w:rPr>
          <w:spacing w:val="-23"/>
          <w:sz w:val="18"/>
        </w:rPr>
        <w:t>第 </w:t>
      </w:r>
      <w:r>
        <w:rPr>
          <w:sz w:val="18"/>
        </w:rPr>
        <w:t>50</w:t>
      </w:r>
      <w:r>
        <w:rPr>
          <w:spacing w:val="-10"/>
          <w:sz w:val="18"/>
        </w:rPr>
        <w:t> 百分位数</w:t>
      </w:r>
      <w:r>
        <w:rPr>
          <w:sz w:val="18"/>
        </w:rPr>
        <w:t>）</w:t>
      </w:r>
    </w:p>
    <w:p>
      <w:pPr>
        <w:spacing w:before="9"/>
        <w:ind w:left="1307" w:right="0" w:firstLine="0"/>
        <w:jc w:val="left"/>
        <w:rPr>
          <w:sz w:val="18"/>
        </w:rPr>
      </w:pPr>
      <w:r>
        <w:rPr>
          <w:sz w:val="18"/>
        </w:rPr>
        <w:t>36000</w:t>
      </w:r>
    </w:p>
    <w:p>
      <w:pPr>
        <w:spacing w:before="9"/>
        <w:ind w:left="1307" w:right="0" w:firstLine="0"/>
        <w:jc w:val="left"/>
        <w:rPr>
          <w:sz w:val="18"/>
        </w:rPr>
      </w:pPr>
      <w:r>
        <w:rPr>
          <w:sz w:val="18"/>
        </w:rPr>
        <w:t>37500</w:t>
      </w:r>
    </w:p>
    <w:p>
      <w:pPr>
        <w:spacing w:before="10"/>
        <w:ind w:left="1307" w:right="0" w:firstLine="0"/>
        <w:jc w:val="left"/>
        <w:rPr>
          <w:sz w:val="18"/>
        </w:rPr>
      </w:pPr>
      <w:r>
        <w:rPr>
          <w:sz w:val="18"/>
        </w:rPr>
        <w:t>37500</w:t>
      </w:r>
    </w:p>
    <w:p>
      <w:pPr>
        <w:spacing w:before="9"/>
        <w:ind w:left="1307" w:right="0" w:firstLine="0"/>
        <w:jc w:val="left"/>
        <w:rPr>
          <w:sz w:val="18"/>
        </w:rPr>
      </w:pPr>
      <w:r>
        <w:rPr>
          <w:sz w:val="18"/>
        </w:rPr>
        <w:t>37500</w:t>
      </w:r>
    </w:p>
    <w:p>
      <w:pPr>
        <w:spacing w:before="10"/>
        <w:ind w:left="1307" w:right="0" w:firstLine="0"/>
        <w:jc w:val="left"/>
        <w:rPr>
          <w:sz w:val="18"/>
        </w:rPr>
      </w:pPr>
      <w:r>
        <w:rPr>
          <w:sz w:val="18"/>
        </w:rPr>
        <w:t>37500</w:t>
      </w:r>
    </w:p>
    <w:p>
      <w:pPr>
        <w:spacing w:before="9"/>
        <w:ind w:left="1307" w:right="0" w:firstLine="0"/>
        <w:jc w:val="left"/>
        <w:rPr>
          <w:sz w:val="18"/>
        </w:rPr>
      </w:pPr>
      <w:r>
        <w:rPr>
          <w:sz w:val="18"/>
        </w:rPr>
        <w:t>37500</w:t>
      </w:r>
    </w:p>
    <w:p>
      <w:pPr>
        <w:spacing w:before="9"/>
        <w:ind w:left="1307" w:right="0" w:firstLine="0"/>
        <w:jc w:val="left"/>
        <w:rPr>
          <w:sz w:val="18"/>
        </w:rPr>
      </w:pPr>
      <w:r>
        <w:rPr>
          <w:sz w:val="18"/>
        </w:rPr>
        <w:t>37500</w:t>
      </w:r>
    </w:p>
    <w:p>
      <w:pPr>
        <w:spacing w:before="10"/>
        <w:ind w:left="1307" w:right="0" w:firstLine="0"/>
        <w:jc w:val="left"/>
        <w:rPr>
          <w:sz w:val="18"/>
        </w:rPr>
      </w:pPr>
      <w:r>
        <w:rPr>
          <w:sz w:val="18"/>
        </w:rPr>
        <w:t>37500</w:t>
      </w:r>
    </w:p>
    <w:p>
      <w:pPr>
        <w:spacing w:before="9"/>
        <w:ind w:left="1307" w:right="0" w:firstLine="0"/>
        <w:jc w:val="left"/>
        <w:rPr>
          <w:sz w:val="18"/>
        </w:rPr>
      </w:pPr>
      <w:r>
        <w:rPr>
          <w:sz w:val="18"/>
        </w:rPr>
        <w:t>43500</w:t>
      </w:r>
    </w:p>
    <w:p>
      <w:pPr>
        <w:tabs>
          <w:tab w:pos="4107" w:val="left" w:leader="none"/>
        </w:tabs>
        <w:spacing w:before="9"/>
        <w:ind w:left="1307" w:right="0" w:firstLine="0"/>
        <w:jc w:val="left"/>
        <w:rPr>
          <w:sz w:val="18"/>
        </w:rPr>
      </w:pPr>
      <w:r>
        <w:rPr/>
        <w:pict>
          <v:shape style="position:absolute;margin-left:194.399994pt;margin-top:6.774004pt;width:84.65pt;height:6pt;mso-position-horizontal-relative:page;mso-position-vertical-relative:paragraph;z-index:-253290496" coordorigin="3888,135" coordsize="1693,120" path="m4008,255l3888,195,4008,135,4008,188,3978,188,3978,203,4008,203,4008,255xm4008,203l3978,203,3978,188,4008,188,4008,203xm4008,188l3978,188,4008,188,4008,188xm5580,207l4008,203,4008,188,5580,192,5580,207xe" filled="true" fillcolor="#000000" stroked="false">
            <v:path arrowok="t"/>
            <v:fill type="solid"/>
            <w10:wrap type="none"/>
          </v:shape>
        </w:pict>
      </w:r>
      <w:r>
        <w:rPr>
          <w:sz w:val="18"/>
        </w:rPr>
        <w:t>43500</w:t>
        <w:tab/>
      </w:r>
      <w:r>
        <w:rPr>
          <w:spacing w:val="-23"/>
          <w:sz w:val="18"/>
        </w:rPr>
        <w:t>第 </w:t>
      </w:r>
      <w:r>
        <w:rPr>
          <w:sz w:val="18"/>
        </w:rPr>
        <w:t>3</w:t>
      </w:r>
      <w:r>
        <w:rPr>
          <w:spacing w:val="-10"/>
          <w:sz w:val="18"/>
        </w:rPr>
        <w:t> 四分位数</w:t>
      </w:r>
    </w:p>
    <w:p>
      <w:pPr>
        <w:spacing w:before="10"/>
        <w:ind w:left="1307" w:right="0" w:firstLine="0"/>
        <w:jc w:val="left"/>
        <w:rPr>
          <w:sz w:val="18"/>
        </w:rPr>
      </w:pPr>
      <w:r>
        <w:rPr>
          <w:sz w:val="18"/>
        </w:rPr>
        <w:t>43500</w:t>
      </w:r>
    </w:p>
    <w:p>
      <w:pPr>
        <w:spacing w:before="9"/>
        <w:ind w:left="1307" w:right="0" w:firstLine="0"/>
        <w:jc w:val="left"/>
        <w:rPr>
          <w:sz w:val="18"/>
        </w:rPr>
      </w:pPr>
      <w:r>
        <w:rPr>
          <w:sz w:val="18"/>
        </w:rPr>
        <w:t>43500</w:t>
      </w:r>
    </w:p>
    <w:p>
      <w:pPr>
        <w:spacing w:before="10"/>
        <w:ind w:left="1307" w:right="0" w:firstLine="0"/>
        <w:jc w:val="left"/>
        <w:rPr>
          <w:sz w:val="18"/>
        </w:rPr>
      </w:pPr>
      <w:r>
        <w:rPr>
          <w:sz w:val="18"/>
        </w:rPr>
        <w:t>43500</w:t>
      </w:r>
    </w:p>
    <w:p>
      <w:pPr>
        <w:tabs>
          <w:tab w:pos="4107" w:val="left" w:leader="none"/>
        </w:tabs>
        <w:spacing w:before="9"/>
        <w:ind w:left="1307" w:right="0" w:firstLine="0"/>
        <w:jc w:val="left"/>
        <w:rPr>
          <w:sz w:val="18"/>
        </w:rPr>
      </w:pPr>
      <w:r>
        <w:rPr/>
        <w:pict>
          <v:shape style="position:absolute;margin-left:194.399994pt;margin-top:10.374003pt;width:84.65pt;height:6pt;mso-position-horizontal-relative:page;mso-position-vertical-relative:paragraph;z-index:251673600" coordorigin="3888,207" coordsize="1693,120" path="m4008,327l3888,267,4008,207,4008,260,3978,260,3978,275,4008,275,4008,327xm4008,275l3978,275,3978,260,4008,260,4008,275xm4008,260l3978,260,4008,260,4008,260xm5580,279l4008,275,4008,260,5580,264,5580,279xe" filled="true" fillcolor="#000000" stroked="false">
            <v:path arrowok="t"/>
            <v:fill type="solid"/>
            <w10:wrap type="none"/>
          </v:shape>
        </w:pict>
      </w:r>
      <w:r>
        <w:rPr>
          <w:sz w:val="18"/>
        </w:rPr>
        <w:t>45000</w:t>
        <w:tab/>
      </w:r>
      <w:r>
        <w:rPr>
          <w:spacing w:val="-23"/>
          <w:sz w:val="18"/>
        </w:rPr>
        <w:t>第 </w:t>
      </w:r>
      <w:r>
        <w:rPr>
          <w:sz w:val="18"/>
        </w:rPr>
        <w:t>90</w:t>
      </w:r>
      <w:r>
        <w:rPr>
          <w:spacing w:val="-10"/>
          <w:sz w:val="18"/>
        </w:rPr>
        <w:t> 百分位数</w:t>
      </w:r>
    </w:p>
    <w:p>
      <w:pPr>
        <w:spacing w:before="9"/>
        <w:ind w:left="1307" w:right="0" w:firstLine="0"/>
        <w:jc w:val="left"/>
        <w:rPr>
          <w:sz w:val="18"/>
        </w:rPr>
      </w:pPr>
      <w:r>
        <w:rPr>
          <w:sz w:val="18"/>
        </w:rPr>
        <w:t>45000</w:t>
      </w:r>
    </w:p>
    <w:p>
      <w:pPr>
        <w:spacing w:before="10"/>
        <w:ind w:left="1307" w:right="0" w:firstLine="0"/>
        <w:jc w:val="left"/>
        <w:rPr>
          <w:sz w:val="18"/>
        </w:rPr>
      </w:pPr>
      <w:r>
        <w:rPr>
          <w:sz w:val="18"/>
        </w:rPr>
        <w:t>45000</w:t>
      </w:r>
    </w:p>
    <w:p>
      <w:pPr>
        <w:spacing w:before="9"/>
        <w:ind w:left="1307" w:right="0" w:firstLine="0"/>
        <w:jc w:val="left"/>
        <w:rPr>
          <w:sz w:val="18"/>
        </w:rPr>
      </w:pPr>
      <w:r>
        <w:rPr/>
        <w:pict>
          <v:shape style="position:absolute;margin-left:194.399994pt;margin-top:11.874003pt;width:84.65pt;height:6pt;mso-position-horizontal-relative:page;mso-position-vertical-relative:paragraph;z-index:-253289472" coordorigin="3888,237" coordsize="1693,120" path="m4008,357l3888,297,4008,237,4008,290,3978,290,3978,305,4008,305,4008,357xm4008,305l3978,305,3978,290,4008,290,4008,305xm4008,290l3978,290,4008,290,4008,290xm5580,309l4008,305,4008,290,5580,294,5580,309xe" filled="true" fillcolor="#000000" stroked="false">
            <v:path arrowok="t"/>
            <v:fill type="solid"/>
            <w10:wrap type="none"/>
          </v:shape>
        </w:pict>
      </w:r>
      <w:r>
        <w:rPr>
          <w:sz w:val="18"/>
        </w:rPr>
        <w:t>45000</w:t>
      </w:r>
    </w:p>
    <w:p>
      <w:pPr>
        <w:tabs>
          <w:tab w:pos="4107" w:val="left" w:leader="none"/>
        </w:tabs>
        <w:spacing w:before="9"/>
        <w:ind w:left="1307" w:right="0" w:firstLine="0"/>
        <w:jc w:val="left"/>
        <w:rPr>
          <w:sz w:val="18"/>
        </w:rPr>
      </w:pPr>
      <w:r>
        <w:rPr>
          <w:sz w:val="18"/>
        </w:rPr>
        <w:t>55000</w:t>
        <w:tab/>
      </w:r>
      <w:r>
        <w:rPr>
          <w:spacing w:val="-23"/>
          <w:sz w:val="18"/>
        </w:rPr>
        <w:t>第 </w:t>
      </w:r>
      <w:r>
        <w:rPr>
          <w:sz w:val="18"/>
        </w:rPr>
        <w:t>4</w:t>
      </w:r>
      <w:r>
        <w:rPr>
          <w:spacing w:val="-10"/>
          <w:sz w:val="18"/>
        </w:rPr>
        <w:t> 四分位数</w:t>
      </w:r>
    </w:p>
    <w:p>
      <w:pPr>
        <w:pStyle w:val="BodyText"/>
        <w:ind w:left="107"/>
        <w:rPr>
          <w:sz w:val="20"/>
        </w:rPr>
      </w:pPr>
      <w:r>
        <w:rPr>
          <w:sz w:val="20"/>
        </w:rPr>
        <w:pict>
          <v:group style="width:426.1pt;height:55pt;mso-position-horizontal-relative:char;mso-position-vertical-relative:line" coordorigin="0,0" coordsize="8522,1100">
            <v:shape style="position:absolute;left:1425;top:18;width:5837;height:1082" type="#_x0000_t75" stroked="false">
              <v:imagedata r:id="rId9" o:title=""/>
            </v:shape>
            <v:line style="position:absolute" from="0,5" to="8522,5" stroked="true" strokeweight=".48pt" strokecolor="#000000">
              <v:stroke dashstyle="solid"/>
            </v:line>
          </v:group>
        </w:pict>
      </w:r>
      <w:r>
        <w:rPr>
          <w:sz w:val="20"/>
        </w:rPr>
      </w:r>
    </w:p>
    <w:p>
      <w:pPr>
        <w:spacing w:after="0"/>
        <w:rPr>
          <w:sz w:val="20"/>
        </w:rPr>
        <w:sectPr>
          <w:headerReference w:type="default" r:id="rId7"/>
          <w:footerReference w:type="default" r:id="rId8"/>
          <w:pgSz w:w="11910" w:h="16840"/>
          <w:pgMar w:header="852" w:footer="0" w:top="1820" w:bottom="280" w:left="1580" w:right="1580"/>
        </w:sectPr>
      </w:pPr>
    </w:p>
    <w:p>
      <w:pPr>
        <w:pStyle w:val="BodyText"/>
        <w:ind w:left="0"/>
        <w:rPr>
          <w:sz w:val="20"/>
        </w:rPr>
      </w:pPr>
    </w:p>
    <w:p>
      <w:pPr>
        <w:pStyle w:val="BodyText"/>
        <w:spacing w:before="9"/>
        <w:ind w:left="0"/>
        <w:rPr>
          <w:sz w:val="16"/>
        </w:rPr>
      </w:pPr>
    </w:p>
    <w:p>
      <w:pPr>
        <w:pStyle w:val="BodyText"/>
        <w:spacing w:before="70"/>
        <w:ind w:left="640"/>
        <w:jc w:val="both"/>
      </w:pPr>
      <w:r>
        <w:rPr/>
        <w:t>四分位和百分位数是通过小于某一数值的数据的百分比来描述变异的。表 6-5 表示了本</w:t>
      </w:r>
    </w:p>
    <w:p>
      <w:pPr>
        <w:pStyle w:val="BodyText"/>
        <w:spacing w:line="338" w:lineRule="auto" w:before="113"/>
        <w:ind w:right="114"/>
        <w:jc w:val="both"/>
      </w:pPr>
      <w:r>
        <w:rPr>
          <w:spacing w:val="-6"/>
        </w:rPr>
        <w:t>节中工程师的四分位和百分位数。薪酬专业人员可以根据四分位把数据分为 </w:t>
      </w:r>
      <w:r>
        <w:rPr/>
        <w:t>4</w:t>
      </w:r>
      <w:r>
        <w:rPr>
          <w:spacing w:val="-17"/>
        </w:rPr>
        <w:t> 组，第一个四</w:t>
      </w:r>
      <w:r>
        <w:rPr>
          <w:spacing w:val="-23"/>
        </w:rPr>
        <w:t>分位是表示有 </w:t>
      </w:r>
      <w:r>
        <w:rPr/>
        <w:t>25</w:t>
      </w:r>
      <w:r>
        <w:rPr>
          <w:spacing w:val="-4"/>
        </w:rPr>
        <w:t>%的工程师的工资少于或等于 </w:t>
      </w:r>
      <w:r>
        <w:rPr/>
        <w:t>34500</w:t>
      </w:r>
      <w:r>
        <w:rPr>
          <w:spacing w:val="-12"/>
        </w:rPr>
        <w:t> 元，第二个四分位表示有 </w:t>
      </w:r>
      <w:r>
        <w:rPr/>
        <w:t>50%的工程师</w:t>
      </w:r>
      <w:r>
        <w:rPr>
          <w:spacing w:val="-8"/>
        </w:rPr>
        <w:t>的工资少于或等于 </w:t>
      </w:r>
      <w:r>
        <w:rPr/>
        <w:t>36000</w:t>
      </w:r>
      <w:r>
        <w:rPr>
          <w:spacing w:val="-21"/>
        </w:rPr>
        <w:t> 元，第三个四分位表示有 </w:t>
      </w:r>
      <w:r>
        <w:rPr/>
        <w:t>75%</w:t>
      </w:r>
      <w:r>
        <w:rPr>
          <w:spacing w:val="-5"/>
        </w:rPr>
        <w:t>的工程师的工资少于或等于 </w:t>
      </w:r>
      <w:r>
        <w:rPr/>
        <w:t>43500</w:t>
      </w:r>
      <w:r>
        <w:rPr>
          <w:spacing w:val="-22"/>
        </w:rPr>
        <w:t> 元，</w:t>
      </w:r>
    </w:p>
    <w:p>
      <w:pPr>
        <w:pStyle w:val="BodyText"/>
        <w:spacing w:before="2"/>
        <w:jc w:val="both"/>
      </w:pPr>
      <w:r>
        <w:rPr/>
        <w:t>第四个四分位表示表示有 100%的工程师的工资少于或等于 55000 元。第 10 个百分位数是</w:t>
      </w:r>
    </w:p>
    <w:p>
      <w:pPr>
        <w:pStyle w:val="BodyText"/>
        <w:spacing w:before="110"/>
        <w:jc w:val="both"/>
      </w:pPr>
      <w:r>
        <w:rPr/>
        <w:t>33000 元，第 90 个百分位数是 45000 元。</w:t>
      </w:r>
    </w:p>
    <w:p>
      <w:pPr>
        <w:pStyle w:val="BodyText"/>
        <w:spacing w:line="338" w:lineRule="auto" w:before="110"/>
        <w:ind w:right="219" w:firstLine="420"/>
        <w:jc w:val="both"/>
      </w:pPr>
      <w:r>
        <w:rPr>
          <w:spacing w:val="-4"/>
          <w:w w:val="95"/>
        </w:rPr>
        <w:t>四分位数和百分位数标明了低于某一具体数值的观测值的百分比，是标准差的补充。薪  </w:t>
      </w:r>
      <w:r>
        <w:rPr>
          <w:spacing w:val="-9"/>
        </w:rPr>
        <w:t>酬专业人员如果把工资定在第 </w:t>
      </w:r>
      <w:r>
        <w:rPr/>
        <w:t>10</w:t>
      </w:r>
      <w:r>
        <w:rPr>
          <w:spacing w:val="-8"/>
        </w:rPr>
        <w:t> 个百分位数，虽然能够为公司节约人力成本，但是公司可</w:t>
      </w:r>
      <w:r>
        <w:rPr>
          <w:spacing w:val="-12"/>
        </w:rPr>
        <w:t>能因为此流失人才，因为有 </w:t>
      </w:r>
      <w:r>
        <w:rPr/>
        <w:t>90</w:t>
      </w:r>
      <w:r>
        <w:rPr>
          <w:spacing w:val="-5"/>
        </w:rPr>
        <w:t>%的工程师的收入高于 </w:t>
      </w:r>
      <w:r>
        <w:rPr/>
        <w:t>25000</w:t>
      </w:r>
      <w:r>
        <w:rPr>
          <w:spacing w:val="-18"/>
        </w:rPr>
        <w:t> 元。</w:t>
      </w:r>
    </w:p>
    <w:p>
      <w:pPr>
        <w:pStyle w:val="BodyText"/>
        <w:spacing w:line="338" w:lineRule="auto" w:before="2"/>
        <w:ind w:right="219" w:firstLine="420"/>
        <w:jc w:val="both"/>
      </w:pPr>
      <w:r>
        <w:rPr>
          <w:spacing w:val="-4"/>
          <w:w w:val="95"/>
        </w:rPr>
        <w:t>薪酬专业人员通常要绘制反映市场平均工资水平的职位总图。绘制的方法是以职位等级  </w:t>
      </w:r>
      <w:r>
        <w:rPr>
          <w:spacing w:val="-10"/>
        </w:rPr>
        <w:t>为横坐标，以工资等级为纵坐标的坐标体系中，划出 </w:t>
      </w:r>
      <w:r>
        <w:rPr>
          <w:spacing w:val="-4"/>
        </w:rPr>
        <w:t>25P（</w:t>
      </w:r>
      <w:r>
        <w:rPr/>
        <w:t>百分位数</w:t>
      </w:r>
      <w:r>
        <w:rPr>
          <w:spacing w:val="-15"/>
        </w:rPr>
        <w:t>）、</w:t>
      </w:r>
      <w:r>
        <w:rPr/>
        <w:t>50P</w:t>
      </w:r>
      <w:r>
        <w:rPr>
          <w:spacing w:val="-17"/>
        </w:rPr>
        <w:t>、</w:t>
      </w:r>
      <w:r>
        <w:rPr/>
        <w:t>75P</w:t>
      </w:r>
      <w:r>
        <w:rPr>
          <w:spacing w:val="-14"/>
        </w:rPr>
        <w:t> 三条工资</w:t>
      </w:r>
      <w:r>
        <w:rPr>
          <w:spacing w:val="-10"/>
        </w:rPr>
        <w:t>线，还要划出本企业的目前的工资曲线。图 </w:t>
      </w:r>
      <w:r>
        <w:rPr/>
        <w:t>6-1</w:t>
      </w:r>
      <w:r>
        <w:rPr>
          <w:spacing w:val="-24"/>
        </w:rPr>
        <w:t> 是“</w:t>
      </w:r>
      <w:r>
        <w:rPr/>
        <w:t>M</w:t>
      </w:r>
      <w:r>
        <w:rPr>
          <w:spacing w:val="-8"/>
        </w:rPr>
        <w:t> 公司的薪酬专业人员所绘制的职位工资比较图”。</w:t>
      </w:r>
    </w:p>
    <w:p>
      <w:pPr>
        <w:pStyle w:val="BodyText"/>
        <w:spacing w:before="2"/>
        <w:ind w:left="0"/>
        <w:rPr>
          <w:sz w:val="12"/>
        </w:rPr>
      </w:pPr>
    </w:p>
    <w:p>
      <w:pPr>
        <w:spacing w:line="324" w:lineRule="auto" w:before="75"/>
        <w:ind w:left="1983" w:right="6581" w:firstLine="0"/>
        <w:jc w:val="both"/>
        <w:rPr>
          <w:sz w:val="18"/>
        </w:rPr>
      </w:pPr>
      <w:r>
        <w:rPr/>
        <w:pict>
          <v:group style="position:absolute;margin-left:204pt;margin-top:-9.739996pt;width:291.4pt;height:154.8pt;mso-position-horizontal-relative:page;mso-position-vertical-relative:paragraph;z-index:251677696" coordorigin="4080,-195" coordsize="5828,3096">
            <v:shape style="position:absolute;left:4080;top:-39;width:4020;height:2869" coordorigin="4080,-39" coordsize="4020,2869" path="m8100,2769l8085,2762,7980,2709,7980,2762,4148,2762,4148,1995,7922,1060,7918,1046,4148,1980,4148,81,4200,81,4185,51,4140,-39,4080,81,4133,81,4133,2769,4140,2769,4140,2777,7980,2777,7980,2829,8085,2777,8100,2769e" filled="true" fillcolor="#000000" stroked="false">
              <v:path arrowok="t"/>
              <v:fill type="solid"/>
            </v:shape>
            <v:shape style="position:absolute;left:4137;top:-195;width:5763;height:2348" type="#_x0000_t75" stroked="false">
              <v:imagedata r:id="rId11" o:title=""/>
            </v:shape>
            <v:shape style="position:absolute;left:7884;top:-64;width:481;height:512" type="#_x0000_t202" filled="false" stroked="false">
              <v:textbox inset="0,0,0,0">
                <w:txbxContent>
                  <w:p>
                    <w:pPr>
                      <w:spacing w:line="199" w:lineRule="exact" w:before="0"/>
                      <w:ind w:left="0" w:right="0" w:firstLine="0"/>
                      <w:jc w:val="left"/>
                      <w:rPr>
                        <w:rFonts w:ascii="Times New Roman"/>
                        <w:sz w:val="18"/>
                      </w:rPr>
                    </w:pPr>
                    <w:r>
                      <w:rPr>
                        <w:rFonts w:ascii="Times New Roman"/>
                        <w:sz w:val="18"/>
                      </w:rPr>
                      <w:t>75P</w:t>
                    </w:r>
                  </w:p>
                  <w:p>
                    <w:pPr>
                      <w:spacing w:before="105"/>
                      <w:ind w:left="180" w:right="0" w:firstLine="0"/>
                      <w:jc w:val="left"/>
                      <w:rPr>
                        <w:rFonts w:ascii="Times New Roman"/>
                        <w:sz w:val="18"/>
                      </w:rPr>
                    </w:pPr>
                    <w:r>
                      <w:rPr>
                        <w:rFonts w:ascii="Times New Roman"/>
                        <w:sz w:val="18"/>
                      </w:rPr>
                      <w:t>50P</w:t>
                    </w:r>
                  </w:p>
                </w:txbxContent>
              </v:textbox>
              <w10:wrap type="none"/>
            </v:shape>
            <v:shape style="position:absolute;left:8244;top:872;width:1664;height:668" type="#_x0000_t202" filled="false" stroked="false">
              <v:textbox inset="0,0,0,0">
                <w:txbxContent>
                  <w:p>
                    <w:pPr>
                      <w:spacing w:line="213" w:lineRule="exact" w:before="0"/>
                      <w:ind w:left="0" w:right="0" w:firstLine="0"/>
                      <w:jc w:val="left"/>
                      <w:rPr>
                        <w:sz w:val="18"/>
                      </w:rPr>
                    </w:pPr>
                    <w:r>
                      <w:rPr>
                        <w:rFonts w:ascii="Times New Roman" w:eastAsia="Times New Roman"/>
                        <w:sz w:val="18"/>
                      </w:rPr>
                      <w:t>M </w:t>
                    </w:r>
                    <w:r>
                      <w:rPr>
                        <w:sz w:val="18"/>
                      </w:rPr>
                      <w:t>公司目前工资曲线</w:t>
                    </w:r>
                  </w:p>
                  <w:p>
                    <w:pPr>
                      <w:spacing w:line="240" w:lineRule="auto" w:before="3"/>
                      <w:rPr>
                        <w:sz w:val="19"/>
                      </w:rPr>
                    </w:pPr>
                  </w:p>
                  <w:p>
                    <w:pPr>
                      <w:spacing w:before="0"/>
                      <w:ind w:left="0" w:right="0" w:firstLine="0"/>
                      <w:jc w:val="left"/>
                      <w:rPr>
                        <w:rFonts w:ascii="Times New Roman"/>
                        <w:sz w:val="18"/>
                      </w:rPr>
                    </w:pPr>
                    <w:r>
                      <w:rPr>
                        <w:rFonts w:ascii="Times New Roman"/>
                        <w:sz w:val="18"/>
                      </w:rPr>
                      <w:t>25P</w:t>
                    </w:r>
                  </w:p>
                </w:txbxContent>
              </v:textbox>
              <w10:wrap type="none"/>
            </v:shape>
            <v:shape style="position:absolute;left:8424;top:2721;width:740;height:180" type="#_x0000_t202" filled="false" stroked="false">
              <v:textbox inset="0,0,0,0">
                <w:txbxContent>
                  <w:p>
                    <w:pPr>
                      <w:spacing w:line="180" w:lineRule="exact" w:before="0"/>
                      <w:ind w:left="0" w:right="0" w:firstLine="0"/>
                      <w:jc w:val="left"/>
                      <w:rPr>
                        <w:sz w:val="18"/>
                      </w:rPr>
                    </w:pPr>
                    <w:r>
                      <w:rPr>
                        <w:sz w:val="18"/>
                      </w:rPr>
                      <w:t>职位等级</w:t>
                    </w:r>
                  </w:p>
                </w:txbxContent>
              </v:textbox>
              <w10:wrap type="none"/>
            </v:shape>
            <w10:wrap type="none"/>
          </v:group>
        </w:pict>
      </w:r>
      <w:r>
        <w:rPr>
          <w:sz w:val="18"/>
        </w:rPr>
        <w:t>工资等级</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
        <w:ind w:left="0"/>
        <w:rPr>
          <w:sz w:val="25"/>
        </w:rPr>
      </w:pPr>
    </w:p>
    <w:p>
      <w:pPr>
        <w:spacing w:before="81"/>
        <w:ind w:left="3244" w:right="0" w:firstLine="0"/>
        <w:jc w:val="left"/>
        <w:rPr>
          <w:sz w:val="18"/>
        </w:rPr>
      </w:pPr>
      <w:r>
        <w:rPr>
          <w:sz w:val="18"/>
        </w:rPr>
        <w:t>图 </w:t>
      </w:r>
      <w:r>
        <w:rPr>
          <w:rFonts w:ascii="Times New Roman" w:eastAsia="Times New Roman"/>
          <w:sz w:val="18"/>
        </w:rPr>
        <w:t>6-1 M </w:t>
      </w:r>
      <w:r>
        <w:rPr>
          <w:sz w:val="18"/>
        </w:rPr>
        <w:t>公司的薪酬与市场薪酬的比较</w:t>
      </w:r>
    </w:p>
    <w:p>
      <w:pPr>
        <w:pStyle w:val="BodyText"/>
        <w:spacing w:before="6"/>
        <w:ind w:left="0"/>
        <w:rPr>
          <w:sz w:val="26"/>
        </w:rPr>
      </w:pPr>
    </w:p>
    <w:p>
      <w:pPr>
        <w:pStyle w:val="BodyText"/>
        <w:spacing w:line="338" w:lineRule="auto" w:before="70"/>
        <w:ind w:right="219" w:firstLine="420"/>
        <w:jc w:val="both"/>
      </w:pPr>
      <w:r>
        <w:rPr>
          <w:spacing w:val="-15"/>
        </w:rPr>
        <w:t>从该图 </w:t>
      </w:r>
      <w:r>
        <w:rPr/>
        <w:t>6-1</w:t>
      </w:r>
      <w:r>
        <w:rPr>
          <w:spacing w:val="-20"/>
        </w:rPr>
        <w:t> 可以看出 </w:t>
      </w:r>
      <w:r>
        <w:rPr/>
        <w:t>M</w:t>
      </w:r>
      <w:r>
        <w:rPr>
          <w:spacing w:val="-12"/>
        </w:rPr>
        <w:t> 公司的薪酬趋势基本上沿着市场的平均工资线往下走，说明其薪</w:t>
      </w:r>
      <w:r>
        <w:rPr>
          <w:spacing w:val="-17"/>
        </w:rPr>
        <w:t>酬水平处在市场平均薪酬的 </w:t>
      </w:r>
      <w:r>
        <w:rPr/>
        <w:t>25%-50</w:t>
      </w:r>
      <w:r>
        <w:rPr>
          <w:spacing w:val="-5"/>
        </w:rPr>
        <w:t>%之间。这可能会导致员工的流失，可能需要做出一定的调整。</w:t>
      </w:r>
    </w:p>
    <w:p>
      <w:pPr>
        <w:pStyle w:val="BodyText"/>
        <w:spacing w:before="1"/>
        <w:ind w:left="640"/>
      </w:pPr>
      <w:r>
        <w:rPr/>
        <w:t>（七）调查资料的调整</w:t>
      </w:r>
    </w:p>
    <w:p>
      <w:pPr>
        <w:pStyle w:val="BodyText"/>
        <w:spacing w:before="111"/>
        <w:ind w:left="640"/>
      </w:pPr>
      <w:r>
        <w:rPr>
          <w:spacing w:val="-5"/>
        </w:rPr>
        <w:t>公司是为将来制定薪酬方案的。假设一个薪酬专业人员想开发 </w:t>
      </w:r>
      <w:r>
        <w:rPr/>
        <w:t>2006</w:t>
      </w:r>
      <w:r>
        <w:rPr>
          <w:spacing w:val="-38"/>
        </w:rPr>
        <w:t> 年 </w:t>
      </w:r>
      <w:r>
        <w:rPr/>
        <w:t>1</w:t>
      </w:r>
      <w:r>
        <w:rPr>
          <w:spacing w:val="-38"/>
        </w:rPr>
        <w:t> 月 </w:t>
      </w:r>
      <w:r>
        <w:rPr/>
        <w:t>1</w:t>
      </w:r>
      <w:r>
        <w:rPr>
          <w:spacing w:val="-28"/>
        </w:rPr>
        <w:t> 日到 </w:t>
      </w:r>
      <w:r>
        <w:rPr/>
        <w:t>2006</w:t>
      </w:r>
    </w:p>
    <w:p>
      <w:pPr>
        <w:pStyle w:val="BodyText"/>
        <w:spacing w:before="112"/>
      </w:pPr>
      <w:r>
        <w:rPr>
          <w:spacing w:val="-29"/>
        </w:rPr>
        <w:t>年 </w:t>
      </w:r>
      <w:r>
        <w:rPr/>
        <w:t>12</w:t>
      </w:r>
      <w:r>
        <w:rPr>
          <w:spacing w:val="-38"/>
        </w:rPr>
        <w:t> 月 </w:t>
      </w:r>
      <w:r>
        <w:rPr/>
        <w:t>1</w:t>
      </w:r>
      <w:r>
        <w:rPr>
          <w:spacing w:val="-20"/>
        </w:rPr>
        <w:t> 日的工资结构，而当时是 </w:t>
      </w:r>
      <w:r>
        <w:rPr/>
        <w:t>2005</w:t>
      </w:r>
      <w:r>
        <w:rPr>
          <w:spacing w:val="-38"/>
        </w:rPr>
        <w:t> 年 </w:t>
      </w:r>
      <w:r>
        <w:rPr/>
        <w:t>4</w:t>
      </w:r>
      <w:r>
        <w:rPr>
          <w:spacing w:val="-21"/>
        </w:rPr>
        <w:t> 月。工资调查数据是在 </w:t>
      </w:r>
      <w:r>
        <w:rPr/>
        <w:t>2005</w:t>
      </w:r>
      <w:r>
        <w:rPr>
          <w:spacing w:val="-38"/>
        </w:rPr>
        <w:t> 年 </w:t>
      </w:r>
      <w:r>
        <w:rPr/>
        <w:t>1</w:t>
      </w:r>
      <w:r>
        <w:rPr>
          <w:spacing w:val="-20"/>
        </w:rPr>
        <w:t> 月收集的 </w:t>
      </w:r>
      <w:r>
        <w:rPr/>
        <w:t>2004</w:t>
      </w:r>
    </w:p>
    <w:p>
      <w:pPr>
        <w:pStyle w:val="BodyText"/>
        <w:spacing w:before="110"/>
      </w:pPr>
      <w:r>
        <w:rPr>
          <w:spacing w:val="-3"/>
        </w:rPr>
        <w:t>年的平均薪酬。这些数据在工资计划实施时已经是 </w:t>
      </w:r>
      <w:r>
        <w:rPr/>
        <w:t>1</w:t>
      </w:r>
      <w:r>
        <w:rPr>
          <w:spacing w:val="-12"/>
        </w:rPr>
        <w:t> 年前的数据了，因为不可能在 </w:t>
      </w:r>
      <w:r>
        <w:rPr/>
        <w:t>2005</w:t>
      </w:r>
      <w:r>
        <w:rPr>
          <w:spacing w:val="-29"/>
        </w:rPr>
        <w:t> 年</w:t>
      </w:r>
    </w:p>
    <w:p>
      <w:pPr>
        <w:pStyle w:val="BodyText"/>
        <w:spacing w:before="110"/>
      </w:pPr>
      <w:r>
        <w:rPr>
          <w:spacing w:val="-21"/>
        </w:rPr>
        <w:t>收集 </w:t>
      </w:r>
      <w:r>
        <w:rPr/>
        <w:t>2006</w:t>
      </w:r>
      <w:r>
        <w:rPr>
          <w:spacing w:val="-9"/>
        </w:rPr>
        <w:t> 年的数据，所以薪酬专业人员常常利用历史的工资数据来建立富有市场竞争的工</w:t>
      </w:r>
    </w:p>
    <w:p>
      <w:pPr>
        <w:spacing w:after="0"/>
        <w:sectPr>
          <w:footerReference w:type="default" r:id="rId10"/>
          <w:pgSz w:w="11910" w:h="16840"/>
          <w:pgMar w:footer="1829" w:header="852" w:top="1820" w:bottom="2020" w:left="1580" w:right="1580"/>
        </w:sectPr>
      </w:pPr>
    </w:p>
    <w:p>
      <w:pPr>
        <w:pStyle w:val="BodyText"/>
        <w:spacing w:line="338" w:lineRule="auto" w:before="161"/>
        <w:ind w:right="219"/>
      </w:pPr>
      <w:r>
        <w:rPr>
          <w:spacing w:val="-9"/>
          <w:w w:val="95"/>
        </w:rPr>
        <w:t>资体系。因此，薪酬专业人员会使用一些简单的方法来更新调查数据，纠正因为时间的差异   </w:t>
      </w:r>
      <w:r>
        <w:rPr>
          <w:spacing w:val="-9"/>
        </w:rPr>
        <w:t>而导致的薪酬差异。</w:t>
      </w:r>
    </w:p>
    <w:p>
      <w:pPr>
        <w:pStyle w:val="BodyText"/>
        <w:spacing w:line="338" w:lineRule="auto" w:before="2"/>
        <w:ind w:right="218" w:firstLine="420"/>
        <w:jc w:val="both"/>
      </w:pPr>
      <w:r>
        <w:rPr>
          <w:spacing w:val="-6"/>
          <w:w w:val="95"/>
        </w:rPr>
        <w:t>在对数据进行调整的时候，有几个因素很重要。影响最大的因素是经济预测和消费商品  </w:t>
      </w:r>
      <w:r>
        <w:rPr>
          <w:spacing w:val="-12"/>
        </w:rPr>
        <w:t>以及服务的价格的变化。薪酬专业人员通常是根据消费者价格指数</w:t>
      </w:r>
      <w:r>
        <w:rPr/>
        <w:t>（Consumer</w:t>
      </w:r>
      <w:r>
        <w:rPr>
          <w:spacing w:val="-64"/>
        </w:rPr>
        <w:t> </w:t>
      </w:r>
      <w:r>
        <w:rPr/>
        <w:t>Price</w:t>
      </w:r>
      <w:r>
        <w:rPr>
          <w:spacing w:val="-59"/>
        </w:rPr>
        <w:t> </w:t>
      </w:r>
      <w:r>
        <w:rPr/>
        <w:t>Index, CPI）来更新调查数据，一般来讲是根据消费者价格指数的变化来进行上下调整。这一数据地方政府的统计部门会定期公布。</w:t>
      </w:r>
    </w:p>
    <w:p>
      <w:pPr>
        <w:pStyle w:val="BodyText"/>
        <w:spacing w:before="2"/>
        <w:ind w:left="640"/>
        <w:jc w:val="both"/>
      </w:pPr>
      <w:r>
        <w:rPr/>
        <w:t>（八） 综合内部岗位价值结构和外部市场工资水平</w:t>
      </w:r>
    </w:p>
    <w:p>
      <w:pPr>
        <w:pStyle w:val="BodyText"/>
        <w:spacing w:line="338" w:lineRule="auto" w:before="110"/>
        <w:ind w:right="219" w:firstLine="420"/>
        <w:jc w:val="both"/>
      </w:pPr>
      <w:r>
        <w:rPr>
          <w:spacing w:val="-4"/>
          <w:w w:val="95"/>
        </w:rPr>
        <w:t>在前一章我们重点阐述了岗位价值评估建立起来的职位价值层次图，这些差异应该反映   </w:t>
      </w:r>
      <w:r>
        <w:rPr>
          <w:spacing w:val="-11"/>
          <w:w w:val="95"/>
        </w:rPr>
        <w:t>在工资差异上。我们知道如果本企业或公司的薪酬如果高于或低于市场的平均工资水平就会   </w:t>
      </w:r>
      <w:r>
        <w:rPr>
          <w:spacing w:val="-15"/>
          <w:w w:val="95"/>
        </w:rPr>
        <w:t>给本组织造成竞争的劣势，因此薪酬专业人员在确定本组织的工资水平时就应该参考市场的   </w:t>
      </w:r>
      <w:r>
        <w:rPr>
          <w:spacing w:val="-12"/>
          <w:w w:val="95"/>
        </w:rPr>
        <w:t>工资水平，为此薪酬专业人员采用一种统计技术——回归分析——来解决这个问题。回归分   </w:t>
      </w:r>
      <w:r>
        <w:rPr>
          <w:spacing w:val="-16"/>
          <w:w w:val="95"/>
        </w:rPr>
        <w:t>析能够帮助薪酬专业人员建立一组职位的工资水平，使本组织的工资水平与市场典型的工资   </w:t>
      </w:r>
      <w:r>
        <w:rPr>
          <w:spacing w:val="-16"/>
        </w:rPr>
        <w:t>水平相协调。</w:t>
      </w:r>
    </w:p>
    <w:p>
      <w:pPr>
        <w:pStyle w:val="BodyText"/>
        <w:spacing w:line="338" w:lineRule="auto" w:before="4"/>
        <w:ind w:right="219" w:firstLine="420"/>
        <w:jc w:val="both"/>
      </w:pPr>
      <w:r>
        <w:rPr>
          <w:spacing w:val="-4"/>
          <w:w w:val="95"/>
        </w:rPr>
        <w:t>回归分析可以帮助决策者预测本企业职位的相对市场价值。薪酬专业人员的目标是根据   </w:t>
      </w:r>
      <w:r>
        <w:rPr>
          <w:spacing w:val="-8"/>
          <w:w w:val="95"/>
        </w:rPr>
        <w:t>岗位价值的评估分数来预测企业每个职位的薪酬水平。为什么不能直接通过调查的数据来决   </w:t>
      </w:r>
      <w:r>
        <w:rPr>
          <w:spacing w:val="-14"/>
          <w:w w:val="95"/>
        </w:rPr>
        <w:t>定本企业的职位的价值内？其原因是：首先各个企业从事同样或类似工作的员工的工资是不   </w:t>
      </w:r>
      <w:r>
        <w:rPr>
          <w:spacing w:val="-11"/>
          <w:w w:val="95"/>
        </w:rPr>
        <w:t>同的，如果调查的职位较多，工资的数据也较多，想直接从原始数据中看出典型的工资水平   </w:t>
      </w:r>
      <w:r>
        <w:rPr>
          <w:spacing w:val="-13"/>
          <w:w w:val="95"/>
        </w:rPr>
        <w:t>是很困难的；其次薪酬专业人员想通过某公司内的一组职位的岗位评估分数和薪酬调查中相   </w:t>
      </w:r>
      <w:r>
        <w:rPr>
          <w:spacing w:val="-17"/>
          <w:w w:val="95"/>
        </w:rPr>
        <w:t>应的典型市场薪酬水平的相对价值，来决定这一组职位的薪酬水平，其重点是要为公司的一   </w:t>
      </w:r>
      <w:r>
        <w:rPr>
          <w:spacing w:val="-17"/>
        </w:rPr>
        <w:t>个职务结构定价，而不是确定一个独立职位的岗位价格。</w:t>
      </w:r>
    </w:p>
    <w:p>
      <w:pPr>
        <w:pStyle w:val="BodyText"/>
        <w:spacing w:line="338" w:lineRule="auto" w:before="6"/>
        <w:ind w:right="219" w:firstLine="420"/>
      </w:pPr>
      <w:r>
        <w:rPr/>
        <w:t>通过回归分析薪酬专业人员可以把基准职位的评价分数和基准职位的市场薪酬作为两</w:t>
      </w:r>
      <w:r>
        <w:rPr>
          <w:spacing w:val="-10"/>
          <w:w w:val="95"/>
        </w:rPr>
        <w:t>个变量，找出两者之间的最优的拟合线。薪酬专业人员通常把两者之间的拟合线称为市场薪   </w:t>
      </w:r>
      <w:r>
        <w:rPr>
          <w:spacing w:val="-11"/>
          <w:w w:val="95"/>
        </w:rPr>
        <w:t>酬线。市场薪酬线代表一个特定公司的职位结构的典型市场薪酬水平。和市场薪酬线对应的   </w:t>
      </w:r>
      <w:r>
        <w:rPr>
          <w:spacing w:val="-11"/>
        </w:rPr>
        <w:t>薪酬水平就是特定公司的竞争薪酬水平。</w:t>
      </w:r>
    </w:p>
    <w:p>
      <w:pPr>
        <w:pStyle w:val="BodyText"/>
        <w:spacing w:line="338" w:lineRule="auto" w:before="2"/>
        <w:ind w:right="219" w:firstLine="420"/>
        <w:jc w:val="both"/>
      </w:pPr>
      <w:r>
        <w:rPr>
          <w:spacing w:val="-3"/>
        </w:rPr>
        <w:t>下面我们将采用回归分析的统计技术来确定表 </w:t>
      </w:r>
      <w:r>
        <w:rPr/>
        <w:t>6-3</w:t>
      </w:r>
      <w:r>
        <w:rPr>
          <w:spacing w:val="-14"/>
        </w:rPr>
        <w:t> 所列出的一、二、三级工程师在本企</w:t>
      </w:r>
      <w:r>
        <w:rPr>
          <w:spacing w:val="-14"/>
          <w:w w:val="95"/>
        </w:rPr>
        <w:t>业内的工资水平。在进行回归分析之前我们需要两组数据：一是本企业对每个工程师的岗位   </w:t>
      </w:r>
      <w:r>
        <w:rPr>
          <w:spacing w:val="-14"/>
        </w:rPr>
        <w:t>价值评估总分，在这个例子中我们假设工程师职务的岗位价值是，一级工程师为 </w:t>
      </w:r>
      <w:r>
        <w:rPr/>
        <w:t>100</w:t>
      </w:r>
      <w:r>
        <w:rPr>
          <w:spacing w:val="-24"/>
        </w:rPr>
        <w:t> 分，二</w:t>
      </w:r>
    </w:p>
    <w:p>
      <w:pPr>
        <w:pStyle w:val="BodyText"/>
        <w:spacing w:line="338" w:lineRule="auto" w:before="1"/>
        <w:ind w:left="848" w:right="493" w:hanging="629"/>
        <w:jc w:val="both"/>
      </w:pPr>
      <w:r>
        <w:rPr>
          <w:spacing w:val="-10"/>
        </w:rPr>
        <w:t>级工程师为 </w:t>
      </w:r>
      <w:r>
        <w:rPr/>
        <w:t>500</w:t>
      </w:r>
      <w:r>
        <w:rPr>
          <w:spacing w:val="-13"/>
        </w:rPr>
        <w:t> 分，三级工程师为 </w:t>
      </w:r>
      <w:r>
        <w:rPr/>
        <w:t>1000</w:t>
      </w:r>
      <w:r>
        <w:rPr>
          <w:spacing w:val="-11"/>
        </w:rPr>
        <w:t> 分；二是最新的市场工资调查数据，见表 </w:t>
      </w:r>
      <w:r>
        <w:rPr/>
        <w:t>6-3。回归分析的公式如下：</w:t>
      </w:r>
    </w:p>
    <w:p>
      <w:pPr>
        <w:spacing w:line="324" w:lineRule="auto" w:before="0"/>
        <w:ind w:left="839" w:right="6531" w:firstLine="0"/>
        <w:jc w:val="left"/>
        <w:rPr>
          <w:sz w:val="21"/>
        </w:rPr>
      </w:pPr>
      <w:r>
        <w:rPr>
          <w:i/>
          <w:sz w:val="22"/>
        </w:rPr>
        <w:t>Ý </w:t>
      </w:r>
      <w:r>
        <w:rPr>
          <w:sz w:val="21"/>
        </w:rPr>
        <w:t>=  </w:t>
      </w:r>
      <w:r>
        <w:rPr>
          <w:i/>
          <w:sz w:val="22"/>
        </w:rPr>
        <w:t>a </w:t>
      </w:r>
      <w:r>
        <w:rPr>
          <w:sz w:val="21"/>
        </w:rPr>
        <w:t>+  </w:t>
      </w:r>
      <w:r>
        <w:rPr>
          <w:i/>
          <w:spacing w:val="-33"/>
          <w:sz w:val="22"/>
        </w:rPr>
        <w:t>bX </w:t>
      </w:r>
      <w:r>
        <w:rPr>
          <w:i/>
          <w:sz w:val="22"/>
        </w:rPr>
        <w:t>Ý</w:t>
      </w:r>
      <w:r>
        <w:rPr>
          <w:i/>
          <w:spacing w:val="39"/>
          <w:sz w:val="22"/>
        </w:rPr>
        <w:t> </w:t>
      </w:r>
      <w:r>
        <w:rPr>
          <w:spacing w:val="-2"/>
          <w:sz w:val="21"/>
        </w:rPr>
        <w:t>= 预测年薪</w:t>
      </w:r>
    </w:p>
    <w:p>
      <w:pPr>
        <w:pStyle w:val="BodyText"/>
        <w:spacing w:line="279" w:lineRule="exact"/>
        <w:ind w:left="839"/>
      </w:pPr>
      <w:r>
        <w:rPr>
          <w:i/>
          <w:sz w:val="22"/>
        </w:rPr>
        <w:t>X</w:t>
      </w:r>
      <w:r>
        <w:rPr>
          <w:i/>
          <w:spacing w:val="-62"/>
          <w:sz w:val="22"/>
        </w:rPr>
        <w:t> </w:t>
      </w:r>
      <w:r>
        <w:rPr>
          <w:spacing w:val="-1"/>
        </w:rPr>
        <w:t>= 某职位的价值评估分数</w:t>
      </w:r>
    </w:p>
    <w:p>
      <w:pPr>
        <w:pStyle w:val="BodyText"/>
        <w:spacing w:before="92"/>
        <w:ind w:left="839"/>
      </w:pPr>
      <w:r>
        <w:rPr>
          <w:i/>
          <w:sz w:val="22"/>
        </w:rPr>
        <w:t>a</w:t>
      </w:r>
      <w:r>
        <w:rPr>
          <w:i/>
          <w:spacing w:val="-62"/>
          <w:sz w:val="22"/>
        </w:rPr>
        <w:t> </w:t>
      </w:r>
      <w:r>
        <w:rPr>
          <w:spacing w:val="-6"/>
        </w:rPr>
        <w:t>= </w:t>
      </w:r>
      <w:r>
        <w:rPr>
          <w:i/>
          <w:spacing w:val="-57"/>
          <w:sz w:val="22"/>
        </w:rPr>
        <w:t>ý</w:t>
      </w:r>
      <w:r>
        <w:rPr>
          <w:spacing w:val="-8"/>
        </w:rPr>
        <w:t>的截距，即当 </w:t>
      </w:r>
      <w:r>
        <w:rPr/>
        <w:t>X=0</w:t>
      </w:r>
      <w:r>
        <w:rPr>
          <w:spacing w:val="-32"/>
        </w:rPr>
        <w:t> 时</w:t>
      </w:r>
      <w:r>
        <w:rPr>
          <w:i/>
          <w:spacing w:val="-59"/>
          <w:sz w:val="22"/>
        </w:rPr>
        <w:t>ý</w:t>
      </w:r>
      <w:r>
        <w:rPr/>
        <w:t>的值</w:t>
      </w:r>
    </w:p>
    <w:p>
      <w:pPr>
        <w:spacing w:after="0"/>
        <w:sectPr>
          <w:pgSz w:w="11910" w:h="16840"/>
          <w:pgMar w:header="852" w:footer="1829" w:top="1820" w:bottom="2100" w:left="1580" w:right="1580"/>
        </w:sectPr>
      </w:pPr>
    </w:p>
    <w:p>
      <w:pPr>
        <w:pStyle w:val="BodyText"/>
        <w:spacing w:line="331" w:lineRule="auto" w:before="151"/>
        <w:ind w:right="336" w:firstLine="619"/>
      </w:pPr>
      <w:r>
        <w:rPr>
          <w:i/>
          <w:sz w:val="22"/>
        </w:rPr>
        <w:t>b</w:t>
      </w:r>
      <w:r>
        <w:rPr>
          <w:i/>
          <w:spacing w:val="-66"/>
          <w:sz w:val="22"/>
        </w:rPr>
        <w:t> </w:t>
      </w:r>
      <w:r>
        <w:rPr>
          <w:spacing w:val="-4"/>
        </w:rPr>
        <w:t>= 斜率。斜率代表岗位价值评估分数的每变化一分给</w:t>
      </w:r>
      <w:r>
        <w:rPr>
          <w:i/>
          <w:sz w:val="22"/>
        </w:rPr>
        <w:t>Ý</w:t>
      </w:r>
      <w:r>
        <w:rPr>
          <w:i/>
          <w:spacing w:val="-65"/>
          <w:sz w:val="22"/>
        </w:rPr>
        <w:t> </w:t>
      </w:r>
      <w:r>
        <w:rPr/>
        <w:t>带来的变化。假设斜率为26</w:t>
      </w:r>
      <w:r>
        <w:rPr>
          <w:spacing w:val="-6"/>
        </w:rPr>
        <w:t>，职位评价分数为 </w:t>
      </w:r>
      <w:r>
        <w:rPr/>
        <w:t>301</w:t>
      </w:r>
      <w:r>
        <w:rPr>
          <w:spacing w:val="-23"/>
        </w:rPr>
        <w:t> 的工作 </w:t>
      </w:r>
      <w:r>
        <w:rPr/>
        <w:t>B</w:t>
      </w:r>
      <w:r>
        <w:rPr>
          <w:spacing w:val="-13"/>
        </w:rPr>
        <w:t> 就比职位评价为 </w:t>
      </w:r>
      <w:r>
        <w:rPr/>
        <w:t>300</w:t>
      </w:r>
      <w:r>
        <w:rPr>
          <w:spacing w:val="-19"/>
        </w:rPr>
        <w:t> 分的工作 </w:t>
      </w:r>
      <w:r>
        <w:rPr/>
        <w:t>C</w:t>
      </w:r>
      <w:r>
        <w:rPr>
          <w:spacing w:val="-19"/>
        </w:rPr>
        <w:t> 的价值高 </w:t>
      </w:r>
      <w:r>
        <w:rPr/>
        <w:t>26</w:t>
      </w:r>
      <w:r>
        <w:rPr>
          <w:spacing w:val="-18"/>
        </w:rPr>
        <w:t> 元。</w:t>
      </w:r>
    </w:p>
    <w:p>
      <w:pPr>
        <w:pStyle w:val="BodyText"/>
        <w:spacing w:before="11"/>
        <w:ind w:left="848"/>
      </w:pPr>
      <w:r>
        <w:rPr/>
        <w:t>假设在本例中的回归公式如下：</w:t>
      </w:r>
    </w:p>
    <w:p>
      <w:pPr>
        <w:pStyle w:val="BodyText"/>
        <w:spacing w:before="100"/>
        <w:ind w:left="839"/>
      </w:pPr>
      <w:r>
        <w:rPr>
          <w:i/>
          <w:sz w:val="22"/>
        </w:rPr>
        <w:t>Ý</w:t>
      </w:r>
      <w:r>
        <w:rPr>
          <w:i/>
          <w:spacing w:val="-62"/>
          <w:sz w:val="22"/>
        </w:rPr>
        <w:t> </w:t>
      </w:r>
      <w:r>
        <w:rPr>
          <w:spacing w:val="-1"/>
        </w:rPr>
        <w:t>= </w:t>
      </w:r>
      <w:r>
        <w:rPr/>
        <w:t>32315.66</w:t>
      </w:r>
      <w:r>
        <w:rPr>
          <w:spacing w:val="-11"/>
        </w:rPr>
        <w:t> 元 + </w:t>
      </w:r>
      <w:r>
        <w:rPr/>
        <w:t>12.21</w:t>
      </w:r>
      <w:r>
        <w:rPr>
          <w:spacing w:val="-35"/>
        </w:rPr>
        <w:t> 元 </w:t>
      </w:r>
      <w:r>
        <w:rPr/>
        <w:t>X</w:t>
      </w:r>
    </w:p>
    <w:p>
      <w:pPr>
        <w:pStyle w:val="BodyText"/>
        <w:spacing w:before="107"/>
        <w:ind w:left="848"/>
      </w:pPr>
      <w:r>
        <w:rPr/>
        <w:t>工程师各个职位的预测的市场工资计算如下：</w:t>
      </w:r>
    </w:p>
    <w:p>
      <w:pPr>
        <w:pStyle w:val="ListParagraph"/>
        <w:numPr>
          <w:ilvl w:val="1"/>
          <w:numId w:val="3"/>
        </w:numPr>
        <w:tabs>
          <w:tab w:pos="1268" w:val="left" w:leader="none"/>
          <w:tab w:pos="1269" w:val="left" w:leader="none"/>
        </w:tabs>
        <w:spacing w:line="331" w:lineRule="auto" w:before="103" w:after="0"/>
        <w:ind w:left="1268" w:right="219" w:hanging="420"/>
        <w:jc w:val="left"/>
        <w:rPr>
          <w:sz w:val="21"/>
        </w:rPr>
      </w:pPr>
      <w:r>
        <w:rPr>
          <w:spacing w:val="-8"/>
          <w:sz w:val="21"/>
        </w:rPr>
        <w:t>一级工程师为 </w:t>
      </w:r>
      <w:r>
        <w:rPr>
          <w:sz w:val="21"/>
        </w:rPr>
        <w:t>33536.66</w:t>
      </w:r>
      <w:r>
        <w:rPr>
          <w:spacing w:val="-20"/>
          <w:sz w:val="21"/>
        </w:rPr>
        <w:t> 元，</w:t>
      </w:r>
      <w:r>
        <w:rPr>
          <w:i/>
          <w:spacing w:val="-4"/>
          <w:sz w:val="22"/>
        </w:rPr>
        <w:t>Ý</w:t>
      </w:r>
      <w:r>
        <w:rPr>
          <w:i/>
          <w:spacing w:val="-77"/>
          <w:sz w:val="22"/>
        </w:rPr>
        <w:t> </w:t>
      </w:r>
      <w:r>
        <w:rPr>
          <w:spacing w:val="-9"/>
          <w:sz w:val="21"/>
        </w:rPr>
        <w:t>= </w:t>
      </w:r>
      <w:r>
        <w:rPr>
          <w:sz w:val="21"/>
        </w:rPr>
        <w:t>32315.66</w:t>
      </w:r>
      <w:r>
        <w:rPr>
          <w:spacing w:val="-16"/>
          <w:sz w:val="21"/>
        </w:rPr>
        <w:t> 元 + </w:t>
      </w:r>
      <w:r>
        <w:rPr>
          <w:sz w:val="21"/>
        </w:rPr>
        <w:t>12.21</w:t>
      </w:r>
      <w:r>
        <w:rPr>
          <w:spacing w:val="-18"/>
          <w:sz w:val="21"/>
        </w:rPr>
        <w:t> 元×</w:t>
      </w:r>
      <w:r>
        <w:rPr>
          <w:sz w:val="21"/>
        </w:rPr>
        <w:t>（100</w:t>
      </w:r>
      <w:r>
        <w:rPr>
          <w:spacing w:val="-27"/>
          <w:sz w:val="21"/>
        </w:rPr>
        <w:t> 分</w:t>
      </w:r>
      <w:r>
        <w:rPr>
          <w:sz w:val="21"/>
        </w:rPr>
        <w:t>（岗位价值评估分））</w:t>
      </w:r>
    </w:p>
    <w:p>
      <w:pPr>
        <w:pStyle w:val="ListParagraph"/>
        <w:numPr>
          <w:ilvl w:val="1"/>
          <w:numId w:val="3"/>
        </w:numPr>
        <w:tabs>
          <w:tab w:pos="1268" w:val="left" w:leader="none"/>
          <w:tab w:pos="1269" w:val="left" w:leader="none"/>
        </w:tabs>
        <w:spacing w:line="331" w:lineRule="auto" w:before="0" w:after="0"/>
        <w:ind w:left="1268" w:right="219" w:hanging="420"/>
        <w:jc w:val="left"/>
        <w:rPr>
          <w:sz w:val="21"/>
        </w:rPr>
      </w:pPr>
      <w:r>
        <w:rPr>
          <w:spacing w:val="-8"/>
          <w:sz w:val="21"/>
        </w:rPr>
        <w:t>二级工程师为 </w:t>
      </w:r>
      <w:r>
        <w:rPr>
          <w:sz w:val="21"/>
        </w:rPr>
        <w:t>38420.66</w:t>
      </w:r>
      <w:r>
        <w:rPr>
          <w:spacing w:val="-20"/>
          <w:sz w:val="21"/>
        </w:rPr>
        <w:t> 元，</w:t>
      </w:r>
      <w:r>
        <w:rPr>
          <w:i/>
          <w:spacing w:val="-4"/>
          <w:sz w:val="22"/>
        </w:rPr>
        <w:t>Ý</w:t>
      </w:r>
      <w:r>
        <w:rPr>
          <w:i/>
          <w:spacing w:val="-77"/>
          <w:sz w:val="22"/>
        </w:rPr>
        <w:t> </w:t>
      </w:r>
      <w:r>
        <w:rPr>
          <w:spacing w:val="-9"/>
          <w:sz w:val="21"/>
        </w:rPr>
        <w:t>= </w:t>
      </w:r>
      <w:r>
        <w:rPr>
          <w:sz w:val="21"/>
        </w:rPr>
        <w:t>32315.66</w:t>
      </w:r>
      <w:r>
        <w:rPr>
          <w:spacing w:val="-16"/>
          <w:sz w:val="21"/>
        </w:rPr>
        <w:t> 元 + </w:t>
      </w:r>
      <w:r>
        <w:rPr>
          <w:sz w:val="21"/>
        </w:rPr>
        <w:t>12.21</w:t>
      </w:r>
      <w:r>
        <w:rPr>
          <w:spacing w:val="-18"/>
          <w:sz w:val="21"/>
        </w:rPr>
        <w:t> 元×</w:t>
      </w:r>
      <w:r>
        <w:rPr>
          <w:sz w:val="21"/>
        </w:rPr>
        <w:t>（500</w:t>
      </w:r>
      <w:r>
        <w:rPr>
          <w:spacing w:val="-27"/>
          <w:sz w:val="21"/>
        </w:rPr>
        <w:t> 分</w:t>
      </w:r>
      <w:r>
        <w:rPr>
          <w:sz w:val="21"/>
        </w:rPr>
        <w:t>（岗位价值评估分））</w:t>
      </w:r>
    </w:p>
    <w:p>
      <w:pPr>
        <w:pStyle w:val="ListParagraph"/>
        <w:numPr>
          <w:ilvl w:val="1"/>
          <w:numId w:val="3"/>
        </w:numPr>
        <w:tabs>
          <w:tab w:pos="1268" w:val="left" w:leader="none"/>
          <w:tab w:pos="1269" w:val="left" w:leader="none"/>
        </w:tabs>
        <w:spacing w:line="331" w:lineRule="auto" w:before="0" w:after="0"/>
        <w:ind w:left="1268" w:right="282" w:hanging="420"/>
        <w:jc w:val="left"/>
        <w:rPr>
          <w:sz w:val="21"/>
        </w:rPr>
      </w:pPr>
      <w:r>
        <w:rPr>
          <w:spacing w:val="-8"/>
          <w:sz w:val="21"/>
        </w:rPr>
        <w:t>三级工程师为 </w:t>
      </w:r>
      <w:r>
        <w:rPr>
          <w:sz w:val="21"/>
        </w:rPr>
        <w:t>44525.66</w:t>
      </w:r>
      <w:r>
        <w:rPr>
          <w:spacing w:val="-20"/>
          <w:sz w:val="21"/>
        </w:rPr>
        <w:t> 元，</w:t>
      </w:r>
      <w:r>
        <w:rPr>
          <w:i/>
          <w:spacing w:val="-4"/>
          <w:sz w:val="22"/>
        </w:rPr>
        <w:t>Ý</w:t>
      </w:r>
      <w:r>
        <w:rPr>
          <w:i/>
          <w:spacing w:val="-63"/>
          <w:sz w:val="22"/>
        </w:rPr>
        <w:t> </w:t>
      </w:r>
      <w:r>
        <w:rPr>
          <w:spacing w:val="-2"/>
          <w:sz w:val="21"/>
        </w:rPr>
        <w:t>= </w:t>
      </w:r>
      <w:r>
        <w:rPr>
          <w:sz w:val="21"/>
        </w:rPr>
        <w:t>32315.66</w:t>
      </w:r>
      <w:r>
        <w:rPr>
          <w:spacing w:val="-13"/>
          <w:sz w:val="21"/>
        </w:rPr>
        <w:t> 元 + </w:t>
      </w:r>
      <w:r>
        <w:rPr>
          <w:sz w:val="21"/>
        </w:rPr>
        <w:t>12.21</w:t>
      </w:r>
      <w:r>
        <w:rPr>
          <w:spacing w:val="-19"/>
          <w:sz w:val="21"/>
        </w:rPr>
        <w:t> 元×</w:t>
      </w:r>
      <w:r>
        <w:rPr>
          <w:sz w:val="21"/>
        </w:rPr>
        <w:t>（1000</w:t>
      </w:r>
      <w:r>
        <w:rPr>
          <w:spacing w:val="-28"/>
          <w:sz w:val="21"/>
        </w:rPr>
        <w:t> 分</w:t>
      </w:r>
      <w:r>
        <w:rPr>
          <w:sz w:val="21"/>
        </w:rPr>
        <w:t>（岗位价值评估分））</w:t>
      </w:r>
    </w:p>
    <w:p>
      <w:pPr>
        <w:pStyle w:val="BodyText"/>
        <w:spacing w:before="9"/>
        <w:ind w:left="848"/>
      </w:pPr>
      <w:r>
        <w:rPr/>
        <w:t>这样我们就可以绘制本例中工程师各个职位的市场工资线了，见图 6-2。</w:t>
      </w:r>
    </w:p>
    <w:p>
      <w:pPr>
        <w:pStyle w:val="BodyText"/>
        <w:ind w:left="0"/>
        <w:rPr>
          <w:sz w:val="20"/>
        </w:rPr>
      </w:pPr>
    </w:p>
    <w:p>
      <w:pPr>
        <w:pStyle w:val="BodyText"/>
        <w:ind w:left="0"/>
        <w:rPr>
          <w:sz w:val="20"/>
        </w:rPr>
      </w:pPr>
    </w:p>
    <w:p>
      <w:pPr>
        <w:pStyle w:val="BodyText"/>
        <w:ind w:left="0"/>
        <w:rPr>
          <w:sz w:val="20"/>
        </w:rPr>
      </w:pPr>
    </w:p>
    <w:p>
      <w:pPr>
        <w:pStyle w:val="BodyText"/>
        <w:spacing w:before="12"/>
        <w:ind w:left="0"/>
        <w:rPr>
          <w:sz w:val="23"/>
        </w:rPr>
      </w:pPr>
    </w:p>
    <w:p>
      <w:pPr>
        <w:pStyle w:val="BodyText"/>
        <w:spacing w:before="90"/>
        <w:ind w:left="364"/>
        <w:rPr>
          <w:rFonts w:ascii="Times New Roman"/>
        </w:rPr>
      </w:pPr>
      <w:r>
        <w:rPr/>
        <w:pict>
          <v:group style="position:absolute;margin-left:144pt;margin-top:-31.987274pt;width:305.850pt;height:226.6pt;mso-position-horizontal-relative:page;mso-position-vertical-relative:paragraph;z-index:251684864" coordorigin="2880,-640" coordsize="6117,4532">
            <v:shape style="position:absolute;left:2880;top:-640;width:5760;height:4524" coordorigin="2880,-640" coordsize="5760,4524" path="m2880,3884l8640,3884m3060,-640l3060,3864m2880,296l3060,296m2880,2772l3060,2772m2880,2012l3060,2012m2880,1076l3060,1076m3600,3728l3600,3884m4680,3728l4680,3884m5220,3728l5220,3884m5760,3728l5760,3884m6300,3728l6300,3884m4140,3728l4140,3884m6840,3728l6840,3884m7380,3728l7380,3884m7920,3728l7920,3884m8460,3698l8460,3884e" filled="false" stroked="true" strokeweight=".75pt" strokecolor="#000000">
              <v:path arrowok="t"/>
              <v:stroke dashstyle="solid"/>
            </v:shape>
            <v:shape style="position:absolute;left:3057;top:3044;width:551;height:330" type="#_x0000_t75" stroked="false">
              <v:imagedata r:id="rId12" o:title=""/>
            </v:shape>
            <v:shape style="position:absolute;left:3535;top:2628;width:72;height:229" type="#_x0000_t75" stroked="false">
              <v:imagedata r:id="rId13" o:title=""/>
            </v:shape>
            <v:shape style="position:absolute;left:3057;top:1328;width:5411;height:2376" coordorigin="3057,1328" coordsize="5411,2376" path="m3207,1381l3177,1381,3177,1328,3057,1388,3177,1448,3177,1396,3207,1396,3207,1381m3210,2317l3180,2317,3180,2264,3060,2324,3180,2384,3180,2332,3210,2332,3210,2317m3267,1381l3252,1381,3252,1396,3267,1396,3267,1381m3270,2317l3255,2317,3255,2332,3270,2332,3270,2317m3372,1381l3312,1381,3312,1396,3372,1396,3372,1381m3375,2317l3315,2317,3315,2332,3375,2332,3375,2317m3432,1381l3417,1381,3417,1396,3432,1396,3432,1381m3435,2317l3420,2317,3420,2332,3435,2332,3435,2317m3537,1381l3477,1381,3477,1396,3537,1396,3537,1381m3540,2317l3480,2317,3480,2332,3540,2332,3540,2317m3597,1381l3582,1381,3582,1396,3597,1396,3597,1381m3600,2317l3585,2317,3585,2332,3600,2332,3600,2317m3608,3629l3593,3629,3593,3689,3608,3689,3608,3629m3608,3524l3593,3524,3593,3584,3608,3584,3608,3524m3608,3419l3593,3419,3593,3479,3608,3479,3608,3419m3702,1381l3642,1381,3642,1396,3702,1396,3702,1381m3705,2317l3645,2317,3645,2332,3705,2332,3705,2317m3762,1381l3747,1381,3747,1396,3762,1396,3762,1381m3765,2317l3750,2317,3750,2332,3765,2332,3765,2317m3867,1381l3807,1381,3807,1396,3867,1396,3867,1381m3870,2317l3810,2317,3810,2332,3870,2332,3870,2317m3927,1381l3912,1381,3912,1396,3927,1396,3927,1381m3930,2317l3915,2317,3915,2332,3930,2332,3930,2317m4032,1381l3972,1381,3972,1396,4032,1396,4032,1381m4035,2317l3975,2317,3975,2332,4035,2332,4035,2317m4092,1381l4077,1381,4077,1396,4092,1396,4092,1381m4095,2317l4080,2317,4080,2332,4095,2332,4095,2317m4197,1381l4137,1381,4137,1396,4197,1396,4197,1381m4200,2317l4140,2317,4140,2332,4200,2332,4200,2317m4257,1381l4242,1381,4242,1396,4257,1396,4257,1381m4260,2317l4245,2317,4245,2332,4260,2332,4260,2317m4362,1381l4302,1381,4302,1396,4362,1396,4362,1381m4365,2317l4305,2317,4305,2332,4365,2332,4365,2317m4422,1381l4407,1381,4407,1396,4422,1396,4422,1381m4425,2317l4410,2317,4410,2332,4425,2332,4425,2317m4527,1381l4467,1381,4467,1396,4527,1396,4527,1381m4530,2317l4470,2317,4470,2332,4530,2332,4530,2317m4587,1381l4572,1381,4572,1396,4587,1396,4587,1381m4590,2317l4575,2317,4575,2332,4590,2332,4590,2317m4692,1381l4632,1381,4632,1396,4692,1396,4692,1381m4695,2317l4635,2317,4635,2332,4695,2332,4695,2317m4752,1381l4737,1381,4737,1396,4752,1396,4752,1381m4755,2317l4740,2317,4740,2332,4755,2332,4755,2317m4857,1381l4797,1381,4797,1396,4857,1396,4857,1381m4860,2317l4800,2317,4800,2332,4860,2332,4860,2317m4917,1381l4902,1381,4902,1396,4917,1396,4917,1381m4920,2317l4905,2317,4905,2332,4920,2332,4920,2317m5022,1381l4962,1381,4962,1396,5022,1396,5022,1381m5025,2317l4965,2317,4965,2332,5025,2332,5025,2317m5082,1381l5067,1381,5067,1396,5082,1396,5082,1381m5085,2317l5070,2317,5070,2332,5085,2332,5085,2317m5187,1381l5127,1381,5127,1396,5187,1396,5187,1381m5190,2317l5130,2317,5130,2332,5190,2332,5190,2317m5247,1381l5232,1381,5232,1396,5247,1396,5247,1381m5250,2317l5235,2317,5235,2332,5250,2332,5250,2317m5352,1381l5292,1381,5292,1396,5352,1396,5352,1381m5355,2317l5295,2317,5295,2332,5355,2332,5355,2317m5412,1381l5397,1381,5397,1396,5412,1396,5412,1381m5415,2317l5400,2317,5400,2332,5415,2332,5415,2317m5517,1381l5457,1381,5457,1396,5517,1396,5517,1381m5520,2317l5460,2317,5460,2332,5520,2332,5520,2317m5577,1381l5562,1381,5562,1396,5577,1396,5577,1381m5580,2317l5565,2317,5565,2332,5580,2332,5580,2317m5682,1381l5622,1381,5622,1396,5682,1396,5682,1381m5685,2317l5625,2317,5625,2332,5685,2332,5685,2317m5742,1381l5727,1381,5727,1396,5742,1396,5742,1381m5745,2317l5730,2317,5730,2332,5745,2332,5745,2317m5768,3644l5753,3644,5753,3704,5768,3704,5768,3644m5768,3584l5753,3584,5753,3599,5768,3599,5768,3584m5768,3479l5753,3479,5753,3539,5768,3539,5768,3479m5768,3419l5753,3419,5753,3434,5768,3434,5768,3419m5768,3314l5753,3314,5753,3374,5768,3374,5768,3314m5768,3254l5753,3254,5753,3269,5768,3269,5768,3254m5768,3149l5753,3149,5753,3209,5768,3209,5768,3149m5768,3089l5753,3089,5753,3104,5768,3104,5768,3089m5768,2984l5753,2984,5753,3044,5768,3044,5768,2984m5768,2924l5753,2924,5753,2939,5768,2939,5768,2924m5768,2819l5753,2819,5753,2879,5768,2879,5768,2819m5768,2759l5753,2759,5753,2774,5768,2774,5768,2759m5768,2654l5753,2654,5753,2714,5768,2714,5768,2654m5768,2594l5765,2594,5765,2594,5765,2593,5764,2592,5763,2591,5762,2589,5762,2589,5761,2588,5761,2587,5761,2587,5761,2587,5761,2587,5761,2587,5761,2587,5757,2582,5752,2578,5749,2576,5746,2575,5742,2573,5739,2572,5735,2572,5732,2572,5728,2572,5724,2572,5721,2573,5717,2575,5714,2576,5711,2578,5706,2582,5702,2587,5700,2591,5698,2594,5697,2597,5696,2601,5696,2603,5696,2605,5696,2612,5696,2615,5697,2618,5698,2622,5700,2625,5702,2628,5706,2633,5711,2638,5714,2639,5717,2641,5721,2642,5724,2643,5728,2644,5732,2644,5735,2644,5739,2643,5742,2642,5746,2641,5749,2639,5752,2638,5757,2633,5761,2629,5761,2629,5761,2629,5751,2629,5761,2629,5761,2628,5761,2628,5762,2627,5762,2626,5763,2626,5763,2625,5764,2623,5765,2622,5765,2620,5766,2618,5766,2618,5766,2616,5767,2615,5767,2614,5767,2612,5767,2610,5767,2609,5768,2609,5768,2594m5768,2489l5753,2489,5753,2549,5768,2549,5768,2489m5768,2429l5753,2429,5753,2444,5768,2444,5768,2429m5769,2304l5769,2304,5769,2304,5769,2304m5809,2300l5809,2300,5809,2300,5809,2300m5809,2298l5809,2298,5809,2298,5809,2298m5810,2295l5809,2295,5809,2296,5810,2295m5847,1381l5787,1381,5787,1396,5847,1396,5847,1381m5907,1381l5892,1381,5892,1396,5907,1396,5907,1381m6012,1381l5952,1381,5952,1396,6012,1396,6012,1381m6072,1381l6057,1381,6057,1396,6072,1396,6072,1381m6177,1381l6117,1381,6117,1396,6177,1396,6177,1381m6237,1381l6222,1381,6222,1396,6237,1396,6237,1381m6342,1381l6282,1381,6282,1396,6342,1396,6342,1381m6402,1381l6387,1381,6387,1396,6402,1396,6402,1381m6507,1381l6447,1381,6447,1396,6507,1396,6507,1381m6567,1381l6552,1381,6552,1396,6567,1396,6567,1381m6672,1381l6612,1381,6612,1396,6672,1396,6672,1381m6732,1381l6717,1381,6717,1396,6732,1396,6732,1381m6837,1381l6777,1381,6777,1396,6837,1396,6837,1381m6897,1381l6882,1381,6882,1396,6897,1396,6897,1381m7002,1381l6942,1381,6942,1396,7002,1396,7002,1381m7062,1381l7047,1381,7047,1396,7062,1396,7062,1381m7167,1381l7107,1381,7107,1396,7167,1396,7167,1381m7227,1381l7212,1381,7212,1396,7227,1396,7227,1381m7332,1381l7272,1381,7272,1396,7332,1396,7332,1381m7392,1381l7377,1381,7377,1396,7392,1396,7392,1381m7497,1381l7437,1381,7437,1396,7497,1396,7497,1381m7557,1381l7542,1381,7542,1396,7557,1396,7557,1381m7662,1381l7602,1381,7602,1396,7662,1396,7662,1381m7722,1381l7707,1381,7707,1396,7722,1396,7722,1381m7827,1381l7767,1381,7767,1396,7827,1396,7827,1381m7887,1381l7872,1381,7872,1396,7887,1396,7887,1381m7992,1381l7932,1381,7932,1396,7992,1396,7992,1381m8052,1381l8037,1381,8037,1396,8052,1396,8052,1381m8157,1381l8097,1381,8097,1396,8157,1396,8157,1381m8217,1381l8202,1381,8202,1396,8217,1396,8217,1381m8322,1381l8262,1381,8262,1396,8322,1396,8322,1381m8382,1381l8367,1381,8367,1396,8382,1396,8382,1381m8468,3638l8453,3638,8453,3653,8468,3653,8468,3638m8468,3533l8453,3533,8453,3593,8468,3593,8468,3533m8468,3473l8453,3473,8453,3488,8468,3488,8468,3473m8468,3368l8453,3368,8453,3428,8468,3428,8468,3368m8468,3308l8453,3308,8453,3323,8468,3323,8468,3308m8468,3203l8453,3203,8453,3263,8468,3263,8468,3203m8468,3143l8453,3143,8453,3158,8468,3158,8468,3143m8468,3038l8453,3038,8453,3098,8468,3098,8468,3038m8468,2978l8453,2978,8453,2993,8468,2993,8468,2978m8468,2873l8453,2873,8453,2933,8468,2933,8468,2873m8468,2813l8453,2813,8453,2828,8468,2828,8468,2813m8468,2708l8453,2708,8453,2768,8468,2768,8468,2708m8468,2648l8453,2648,8453,2663,8468,2663,8468,2648m8468,2543l8453,2543,8453,2603,8468,2603,8468,2543m8468,2483l8453,2483,8453,2498,8468,2498,8468,2483m8468,2378l8453,2378,8453,2438,8468,2438,8468,2378m8468,2318l8453,2318,8453,2333,8468,2333,8468,2318m8468,2213l8453,2213,8453,2273,8468,2273,8468,2213m8468,2153l8453,2153,8453,2168,8468,2168,8468,2153m8468,2048l8453,2048,8453,2108,8468,2108,8468,2048m8468,1988l8453,1988,8453,2003,8468,2003,8468,1988m8468,1883l8453,1883,8453,1943,8468,1943,8468,1883m8468,1823l8453,1823,8453,1838,8468,1838,8468,1823m8468,1718l8453,1718,8453,1778,8468,1778,8468,1718m8468,1658l8453,1658,8453,1673,8468,1673,8468,1658m8468,1553l8453,1553,8453,1613,8468,1613,8468,1553m8468,1493l8453,1493,8453,1508,8468,1508,8468,1493m8468,1388l8460,1388,8458,1381,8457,1381,8457,1381,8427,1381,8427,1392,5820,2312,5821,2311,5822,2310,5822,2308,5823,2306,5823,2306,5823,2304,5824,2303,5824,2302,5824,2300,5824,2298,5824,2296,5824,2294,5824,2292,5824,2290,5824,2289,5824,2288,5823,2286,5823,2285,5823,2285,5822,2282,5822,2281,5821,2280,5820,2279,5819,2277,5819,2277,5818,2276,5818,2275,5818,2275,5818,2275,5818,2275,5818,2275,5818,2275,5814,2270,5810,2267,5810,2295,5810,2296,5809,2296,5809,2298,5809,2298,5809,2298,5809,2299,5809,2300,5809,2300,5809,2300,5809,2302,5809,2302,5809,2302,5808,2302,5809,2302,5808,2304,5808,2304,5808,2304,5808,2304,5808,2304,5807,2305,5807,2306,5807,2305,5807,2306,5807,2306,5806,2307,5806,2307,5804,2310,5803,2311,5800,2313,5801,2313,5800,2313,5800,2313,5799,2314,5799,2314,5797,2315,5797,2315,5797,2315,5796,2315,5797,2315,5795,2316,5795,2316,5795,2316,5794,2316,5795,2316,5793,2316,5793,2316,5793,2316,5792,2316,5793,2316,5791,2317,5791,2317,5791,2317,5791,2317,5789,2317,5788,2317,5786,2317,5786,2317,5786,2317,5785,2316,5784,2316,5785,2316,5784,2316,5784,2316,5783,2316,5782,2316,5783,2316,5782,2316,5782,2316,5782,2316,5781,2315,5780,2315,5781,2315,5780,2315,5780,2315,5780,2315,5779,2314,5779,2314,5778,2314,5778,2314,5778,2314,5778,2314,5777,2314,5777,2313,5777,2313,5776,2313,5777,2313,5774,2311,5774,2311,5774,2329,5768,2331,5768,2325,5768,2326,5771,2327,5774,2329,5774,2311,5774,2311,5773,2310,5771,2308,5771,2307,5771,2307,5770,2305,5770,2306,5770,2305,5769,2304,5769,2304,5769,2304,5769,2304,5769,2302,5768,2302,5768,2302,5768,2302,5768,2302,5768,2300,5768,2300,5768,2300,5768,2300,5768,2300,5768,2300,5768,2299,5768,2298,5768,2298,5768,2298,5768,2298,5768,2298,5768,2296,5768,2296,5768,2296,5768,2295,5768,2295,5768,2294,5768,2294,5768,2294,5768,2293,5768,2294,5768,2293,5768,2292,5768,2292,5768,2292,5768,2291,5768,2291,5768,2291,5768,2290,5768,2289,5768,2289,5769,2289,5769,2288,5769,2288,5769,2288,5769,2287,5770,2286,5770,2286,5770,2286,5770,2286,5770,2285,5771,2285,5771,2284,5771,2284,5773,2281,5774,2281,5774,2280,5777,2279,5777,2278,5777,2278,5778,2277,5778,2277,5778,2277,5778,2277,5779,2277,5780,2277,5780,2276,5780,2277,5781,2276,5780,2276,5781,2276,5782,2276,5782,2276,5782,2276,5783,2276,5782,2276,5783,2276,5784,2275,5784,2275,5785,2275,5784,2275,5785,2275,5786,2275,5786,2275,5788,2275,5789,2275,5791,2275,5793,2275,5792,2275,5793,2275,5793,2275,5794,2276,5795,2276,5794,2276,5795,2276,5795,2276,5796,2276,5797,2276,5796,2276,5797,2277,5797,2276,5798,2277,5799,2277,5798,2277,5799,2277,5799,2277,5800,2278,5800,2278,5803,2281,5806,2284,5806,2284,5807,2285,5807,2286,5807,2285,5807,2286,5807,2286,5808,2287,5808,2288,5808,2287,5808,2288,5808,2288,5808,2289,5809,2289,5808,2289,5809,2290,5809,2289,5809,2291,5809,2291,5809,2291,5809,2292,5809,2291,5809,2293,5809,2294,5809,2293,5809,2294,5809,2294,5810,2295,5810,2267,5809,2266,5806,2264,5803,2263,5799,2261,5796,2260,5792,2260,5789,2260,5785,2260,5781,2260,5778,2261,5774,2263,5771,2264,5768,2266,5763,2270,5759,2275,5757,2279,5755,2282,5754,2285,5753,2289,5753,2291,5753,2293,5753,2300,5753,2303,5754,2306,5755,2310,5757,2313,5759,2316,5763,2321,5767,2324,5753,2324,5753,2336,3598,3097,3603,3111,5753,2352,5753,2384,5768,2384,5768,2347,8453,1399,8453,1448,8468,1448,8468,1388e" filled="true" fillcolor="#000000" stroked="false">
              <v:path arrowok="t"/>
              <v:fill type="solid"/>
            </v:shape>
            <v:shape style="position:absolute;left:8395;top:1380;width:129;height:229" type="#_x0000_t75" stroked="false">
              <v:imagedata r:id="rId14" o:title=""/>
            </v:shape>
            <v:shape style="position:absolute;left:8452;top:1167;width:72;height:72" type="#_x0000_t75" stroked="false">
              <v:imagedata r:id="rId15" o:title=""/>
            </v:shape>
            <v:shape style="position:absolute;left:5752;top:-336;width:72;height:72" type="#_x0000_t75" stroked="false">
              <v:imagedata r:id="rId16" o:title=""/>
            </v:shape>
            <v:shape style="position:absolute;left:5752;top:75;width:72;height:72" type="#_x0000_t75" stroked="false">
              <v:imagedata r:id="rId17" o:title=""/>
            </v:shape>
            <v:shape style="position:absolute;left:6264;top:-390;width:740;height:620" type="#_x0000_t202" filled="false" stroked="false">
              <v:textbox inset="0,0,0,0">
                <w:txbxContent>
                  <w:p>
                    <w:pPr>
                      <w:spacing w:line="205" w:lineRule="exact" w:before="0"/>
                      <w:ind w:left="0" w:right="0" w:firstLine="0"/>
                      <w:jc w:val="left"/>
                      <w:rPr>
                        <w:sz w:val="18"/>
                      </w:rPr>
                    </w:pPr>
                    <w:r>
                      <w:rPr>
                        <w:sz w:val="18"/>
                      </w:rPr>
                      <w:t>年薪</w:t>
                    </w:r>
                  </w:p>
                  <w:p>
                    <w:pPr>
                      <w:spacing w:line="240" w:lineRule="auto" w:before="3"/>
                      <w:rPr>
                        <w:sz w:val="16"/>
                      </w:rPr>
                    </w:pPr>
                  </w:p>
                  <w:p>
                    <w:pPr>
                      <w:spacing w:line="205" w:lineRule="exact" w:before="0"/>
                      <w:ind w:left="0" w:right="0" w:firstLine="0"/>
                      <w:jc w:val="left"/>
                      <w:rPr>
                        <w:sz w:val="18"/>
                      </w:rPr>
                    </w:pPr>
                    <w:r>
                      <w:rPr>
                        <w:sz w:val="18"/>
                      </w:rPr>
                      <w:t>预测年薪</w:t>
                    </w:r>
                  </w:p>
                </w:txbxContent>
              </v:textbox>
              <w10:wrap type="none"/>
            </v:shape>
            <v:shape style="position:absolute;left:8604;top:1036;width:393;height:605" type="#_x0000_t202" filled="false" stroked="false">
              <v:textbox inset="0,0,0,0">
                <w:txbxContent>
                  <w:p>
                    <w:pPr>
                      <w:spacing w:line="165" w:lineRule="exact" w:before="0"/>
                      <w:ind w:left="0" w:right="0" w:firstLine="0"/>
                      <w:jc w:val="left"/>
                      <w:rPr>
                        <w:rFonts w:ascii="Times New Roman"/>
                        <w:sz w:val="15"/>
                      </w:rPr>
                    </w:pPr>
                    <w:r>
                      <w:rPr>
                        <w:rFonts w:ascii="Times New Roman"/>
                        <w:sz w:val="15"/>
                      </w:rPr>
                      <w:t>45000</w:t>
                    </w:r>
                  </w:p>
                  <w:p>
                    <w:pPr>
                      <w:spacing w:line="240" w:lineRule="auto" w:before="10"/>
                      <w:rPr>
                        <w:sz w:val="20"/>
                      </w:rPr>
                    </w:pPr>
                  </w:p>
                  <w:p>
                    <w:pPr>
                      <w:spacing w:line="172" w:lineRule="exact" w:before="0"/>
                      <w:ind w:left="0" w:right="0" w:firstLine="0"/>
                      <w:jc w:val="left"/>
                      <w:rPr>
                        <w:rFonts w:ascii="Times New Roman"/>
                        <w:sz w:val="15"/>
                      </w:rPr>
                    </w:pPr>
                    <w:r>
                      <w:rPr>
                        <w:rFonts w:ascii="Times New Roman"/>
                        <w:sz w:val="15"/>
                      </w:rPr>
                      <w:t>43500</w:t>
                    </w:r>
                  </w:p>
                </w:txbxContent>
              </v:textbox>
              <w10:wrap type="none"/>
            </v:shape>
            <v:shape style="position:absolute;left:6084;top:1681;width:920;height:180" type="#_x0000_t202" filled="false" stroked="false">
              <v:textbox inset="0,0,0,0">
                <w:txbxContent>
                  <w:p>
                    <w:pPr>
                      <w:spacing w:line="180" w:lineRule="exact" w:before="0"/>
                      <w:ind w:left="0" w:right="0" w:firstLine="0"/>
                      <w:jc w:val="left"/>
                      <w:rPr>
                        <w:sz w:val="18"/>
                      </w:rPr>
                    </w:pPr>
                    <w:r>
                      <w:rPr>
                        <w:sz w:val="18"/>
                      </w:rPr>
                      <w:t>市场工资线</w:t>
                    </w:r>
                  </w:p>
                </w:txbxContent>
              </v:textbox>
              <w10:wrap type="none"/>
            </v:shape>
            <v:shape style="position:absolute;left:3744;top:2579;width:393;height:365" type="#_x0000_t202" filled="false" stroked="false">
              <v:textbox inset="0,0,0,0">
                <w:txbxContent>
                  <w:p>
                    <w:pPr>
                      <w:spacing w:line="165" w:lineRule="exact" w:before="0"/>
                      <w:ind w:left="0" w:right="0" w:firstLine="0"/>
                      <w:jc w:val="left"/>
                      <w:rPr>
                        <w:rFonts w:ascii="Times New Roman"/>
                        <w:sz w:val="15"/>
                      </w:rPr>
                    </w:pPr>
                    <w:r>
                      <w:rPr>
                        <w:rFonts w:ascii="Times New Roman"/>
                        <w:sz w:val="15"/>
                      </w:rPr>
                      <w:t>36000</w:t>
                    </w:r>
                  </w:p>
                  <w:p>
                    <w:pPr>
                      <w:spacing w:line="172" w:lineRule="exact" w:before="26"/>
                      <w:ind w:left="0" w:right="0" w:firstLine="0"/>
                      <w:jc w:val="left"/>
                      <w:rPr>
                        <w:rFonts w:ascii="Times New Roman"/>
                        <w:sz w:val="15"/>
                      </w:rPr>
                    </w:pPr>
                    <w:r>
                      <w:rPr>
                        <w:rFonts w:ascii="Times New Roman"/>
                        <w:sz w:val="15"/>
                      </w:rPr>
                      <w:t>34500</w:t>
                    </w:r>
                  </w:p>
                </w:txbxContent>
              </v:textbox>
              <w10:wrap type="none"/>
            </v:shape>
            <v:shape style="position:absolute;left:5904;top:2471;width:393;height:165" type="#_x0000_t202" filled="false" stroked="false">
              <v:textbox inset="0,0,0,0">
                <w:txbxContent>
                  <w:p>
                    <w:pPr>
                      <w:spacing w:line="165" w:lineRule="exact" w:before="0"/>
                      <w:ind w:left="0" w:right="0" w:firstLine="0"/>
                      <w:jc w:val="left"/>
                      <w:rPr>
                        <w:rFonts w:ascii="Times New Roman"/>
                        <w:sz w:val="15"/>
                      </w:rPr>
                    </w:pPr>
                    <w:r>
                      <w:rPr>
                        <w:rFonts w:ascii="Times New Roman"/>
                        <w:sz w:val="15"/>
                      </w:rPr>
                      <w:t>36000</w:t>
                    </w:r>
                  </w:p>
                </w:txbxContent>
              </v:textbox>
              <w10:wrap type="none"/>
            </v:shape>
            <v:shape style="position:absolute;left:3744;top:3179;width:393;height:165" type="#_x0000_t202" filled="false" stroked="false">
              <v:textbox inset="0,0,0,0">
                <w:txbxContent>
                  <w:p>
                    <w:pPr>
                      <w:spacing w:line="165" w:lineRule="exact" w:before="0"/>
                      <w:ind w:left="0" w:right="0" w:firstLine="0"/>
                      <w:jc w:val="left"/>
                      <w:rPr>
                        <w:rFonts w:ascii="Times New Roman"/>
                        <w:sz w:val="15"/>
                      </w:rPr>
                    </w:pPr>
                    <w:r>
                      <w:rPr>
                        <w:rFonts w:ascii="Times New Roman"/>
                        <w:sz w:val="15"/>
                      </w:rPr>
                      <w:t>33000</w:t>
                    </w:r>
                  </w:p>
                </w:txbxContent>
              </v:textbox>
              <w10:wrap type="none"/>
            </v:shape>
            <w10:wrap type="none"/>
          </v:group>
        </w:pict>
      </w:r>
      <w:r>
        <w:rPr>
          <w:rFonts w:ascii="Times New Roman"/>
        </w:rPr>
        <w:t>50000</w:t>
      </w:r>
    </w:p>
    <w:p>
      <w:pPr>
        <w:pStyle w:val="BodyText"/>
        <w:ind w:left="0"/>
        <w:rPr>
          <w:rFonts w:ascii="Times New Roman"/>
          <w:sz w:val="20"/>
        </w:rPr>
      </w:pPr>
    </w:p>
    <w:p>
      <w:pPr>
        <w:pStyle w:val="BodyText"/>
        <w:ind w:left="0"/>
        <w:rPr>
          <w:rFonts w:ascii="Times New Roman"/>
          <w:sz w:val="19"/>
        </w:rPr>
      </w:pPr>
    </w:p>
    <w:p>
      <w:pPr>
        <w:pStyle w:val="BodyText"/>
        <w:spacing w:before="90"/>
        <w:ind w:left="364"/>
        <w:rPr>
          <w:rFonts w:ascii="Times New Roman"/>
        </w:rPr>
      </w:pPr>
      <w:r>
        <w:rPr>
          <w:rFonts w:ascii="Times New Roman"/>
        </w:rPr>
        <w:t>45000</w:t>
      </w:r>
    </w:p>
    <w:p>
      <w:pPr>
        <w:pStyle w:val="BodyText"/>
        <w:spacing w:before="8"/>
        <w:ind w:left="0"/>
        <w:rPr>
          <w:rFonts w:ascii="Times New Roman"/>
          <w:sz w:val="19"/>
        </w:rPr>
      </w:pPr>
    </w:p>
    <w:p>
      <w:pPr>
        <w:pStyle w:val="BodyText"/>
        <w:ind w:left="364"/>
        <w:rPr>
          <w:rFonts w:ascii="Times New Roman"/>
        </w:rPr>
      </w:pPr>
      <w:r>
        <w:rPr>
          <w:rFonts w:ascii="Times New Roman"/>
        </w:rPr>
        <w:t>44525</w:t>
      </w:r>
    </w:p>
    <w:p>
      <w:pPr>
        <w:pStyle w:val="BodyText"/>
        <w:spacing w:before="8"/>
        <w:ind w:left="0"/>
        <w:rPr>
          <w:rFonts w:ascii="Times New Roman"/>
          <w:sz w:val="19"/>
        </w:rPr>
      </w:pPr>
    </w:p>
    <w:p>
      <w:pPr>
        <w:pStyle w:val="BodyText"/>
        <w:ind w:left="364"/>
        <w:rPr>
          <w:rFonts w:ascii="Times New Roman"/>
        </w:rPr>
      </w:pPr>
      <w:r>
        <w:rPr/>
        <w:pict>
          <v:rect style="position:absolute;margin-left:90pt;margin-top:-5.247262pt;width:45pt;height:23.4pt;mso-position-horizontal-relative:page;mso-position-vertical-relative:paragraph;z-index:-253276160" filled="true" fillcolor="#ffffff" stroked="false">
            <v:fill type="solid"/>
            <w10:wrap type="none"/>
          </v:rect>
        </w:pict>
      </w:r>
      <w:r>
        <w:rPr>
          <w:rFonts w:ascii="Times New Roman"/>
        </w:rPr>
        <w:t>40000</w:t>
      </w:r>
    </w:p>
    <w:p>
      <w:pPr>
        <w:pStyle w:val="BodyText"/>
        <w:spacing w:before="71"/>
        <w:ind w:left="364"/>
        <w:rPr>
          <w:rFonts w:ascii="Times New Roman"/>
        </w:rPr>
      </w:pPr>
      <w:r>
        <w:rPr>
          <w:rFonts w:ascii="Times New Roman"/>
        </w:rPr>
        <w:t>38420</w:t>
      </w:r>
    </w:p>
    <w:p>
      <w:pPr>
        <w:pStyle w:val="BodyText"/>
        <w:spacing w:before="8"/>
        <w:ind w:left="0"/>
        <w:rPr>
          <w:rFonts w:ascii="Times New Roman"/>
          <w:sz w:val="19"/>
        </w:rPr>
      </w:pPr>
    </w:p>
    <w:p>
      <w:pPr>
        <w:pStyle w:val="BodyText"/>
        <w:ind w:left="364"/>
        <w:rPr>
          <w:rFonts w:ascii="Times New Roman"/>
        </w:rPr>
      </w:pPr>
      <w:r>
        <w:rPr>
          <w:rFonts w:ascii="Times New Roman"/>
        </w:rPr>
        <w:t>35000</w:t>
      </w:r>
    </w:p>
    <w:p>
      <w:pPr>
        <w:pStyle w:val="BodyText"/>
        <w:spacing w:before="8"/>
        <w:ind w:left="0"/>
        <w:rPr>
          <w:rFonts w:ascii="Times New Roman"/>
          <w:sz w:val="19"/>
        </w:rPr>
      </w:pPr>
    </w:p>
    <w:p>
      <w:pPr>
        <w:pStyle w:val="BodyText"/>
        <w:ind w:left="364"/>
        <w:rPr>
          <w:rFonts w:ascii="Times New Roman"/>
        </w:rPr>
      </w:pPr>
      <w:r>
        <w:rPr>
          <w:rFonts w:ascii="Times New Roman"/>
        </w:rPr>
        <w:t>33536</w:t>
      </w:r>
    </w:p>
    <w:p>
      <w:pPr>
        <w:pStyle w:val="BodyText"/>
        <w:spacing w:before="3"/>
        <w:ind w:left="0"/>
        <w:rPr>
          <w:rFonts w:ascii="Times New Roman"/>
          <w:sz w:val="27"/>
        </w:rPr>
      </w:pPr>
    </w:p>
    <w:p>
      <w:pPr>
        <w:spacing w:after="0"/>
        <w:rPr>
          <w:rFonts w:ascii="Times New Roman"/>
          <w:sz w:val="27"/>
        </w:rPr>
        <w:sectPr>
          <w:pgSz w:w="11910" w:h="16840"/>
          <w:pgMar w:header="852" w:footer="1829" w:top="1820" w:bottom="2080" w:left="1580" w:right="1580"/>
        </w:sectPr>
      </w:pPr>
    </w:p>
    <w:p>
      <w:pPr>
        <w:pStyle w:val="BodyText"/>
        <w:spacing w:before="10"/>
        <w:ind w:left="0"/>
        <w:rPr>
          <w:rFonts w:ascii="Times New Roman"/>
          <w:sz w:val="17"/>
        </w:rPr>
      </w:pPr>
    </w:p>
    <w:p>
      <w:pPr>
        <w:pStyle w:val="BodyText"/>
        <w:ind w:left="364"/>
        <w:rPr>
          <w:rFonts w:ascii="Times New Roman"/>
        </w:rPr>
      </w:pPr>
      <w:r>
        <w:rPr>
          <w:rFonts w:ascii="Times New Roman"/>
        </w:rPr>
        <w:t>30000</w:t>
      </w:r>
    </w:p>
    <w:p>
      <w:pPr>
        <w:pStyle w:val="BodyText"/>
        <w:ind w:left="0"/>
        <w:rPr>
          <w:rFonts w:ascii="Times New Roman"/>
          <w:sz w:val="22"/>
        </w:rPr>
      </w:pPr>
      <w:r>
        <w:rPr/>
        <w:br w:type="column"/>
      </w:r>
      <w:r>
        <w:rPr>
          <w:rFonts w:ascii="Times New Roman"/>
          <w:sz w:val="22"/>
        </w:rPr>
      </w:r>
    </w:p>
    <w:p>
      <w:pPr>
        <w:pStyle w:val="BodyText"/>
        <w:spacing w:before="8"/>
        <w:ind w:left="0"/>
        <w:rPr>
          <w:rFonts w:ascii="Times New Roman"/>
          <w:sz w:val="24"/>
        </w:rPr>
      </w:pPr>
    </w:p>
    <w:p>
      <w:pPr>
        <w:pStyle w:val="BodyText"/>
        <w:tabs>
          <w:tab w:pos="783" w:val="left" w:leader="none"/>
          <w:tab w:pos="1309" w:val="left" w:leader="none"/>
          <w:tab w:pos="1832" w:val="left" w:leader="none"/>
          <w:tab w:pos="2358" w:val="left" w:leader="none"/>
          <w:tab w:pos="2883" w:val="left" w:leader="none"/>
          <w:tab w:pos="3512" w:val="left" w:leader="none"/>
          <w:tab w:pos="4038" w:val="left" w:leader="none"/>
          <w:tab w:pos="4563" w:val="left" w:leader="none"/>
          <w:tab w:pos="5089" w:val="left" w:leader="none"/>
          <w:tab w:pos="5612" w:val="left" w:leader="none"/>
        </w:tabs>
        <w:ind w:left="363"/>
        <w:rPr>
          <w:rFonts w:ascii="Times New Roman"/>
        </w:rPr>
      </w:pPr>
      <w:r>
        <w:rPr>
          <w:rFonts w:ascii="Times New Roman"/>
        </w:rPr>
        <w:t>0</w:t>
        <w:tab/>
        <w:t>100</w:t>
        <w:tab/>
        <w:t>200</w:t>
        <w:tab/>
        <w:t>300</w:t>
        <w:tab/>
        <w:t>400</w:t>
        <w:tab/>
        <w:t>500</w:t>
        <w:tab/>
        <w:t>600</w:t>
        <w:tab/>
        <w:t>700</w:t>
        <w:tab/>
        <w:t>800</w:t>
        <w:tab/>
        <w:t>900</w:t>
        <w:tab/>
      </w:r>
      <w:r>
        <w:rPr>
          <w:rFonts w:ascii="Times New Roman"/>
          <w:spacing w:val="-5"/>
        </w:rPr>
        <w:t>1000</w:t>
      </w:r>
    </w:p>
    <w:p>
      <w:pPr>
        <w:spacing w:before="75"/>
        <w:ind w:left="229" w:right="0" w:firstLine="0"/>
        <w:jc w:val="left"/>
        <w:rPr>
          <w:sz w:val="18"/>
        </w:rPr>
      </w:pPr>
      <w:r>
        <w:rPr/>
        <w:br w:type="column"/>
      </w:r>
      <w:r>
        <w:rPr>
          <w:sz w:val="18"/>
        </w:rPr>
        <w:t>职位评价分数</w:t>
      </w:r>
    </w:p>
    <w:p>
      <w:pPr>
        <w:spacing w:after="0"/>
        <w:jc w:val="left"/>
        <w:rPr>
          <w:sz w:val="18"/>
        </w:rPr>
        <w:sectPr>
          <w:type w:val="continuous"/>
          <w:pgSz w:w="11910" w:h="16840"/>
          <w:pgMar w:top="1820" w:bottom="2080" w:left="1580" w:right="1580"/>
          <w:cols w:num="3" w:equalWidth="0">
            <w:col w:w="929" w:space="151"/>
            <w:col w:w="6035" w:space="40"/>
            <w:col w:w="1595"/>
          </w:cols>
        </w:sectPr>
      </w:pPr>
    </w:p>
    <w:p>
      <w:pPr>
        <w:pStyle w:val="BodyText"/>
        <w:spacing w:before="7"/>
        <w:ind w:left="0"/>
        <w:rPr>
          <w:sz w:val="24"/>
        </w:rPr>
      </w:pPr>
    </w:p>
    <w:p>
      <w:pPr>
        <w:tabs>
          <w:tab w:pos="2241" w:val="left" w:leader="none"/>
          <w:tab w:pos="4761" w:val="left" w:leader="none"/>
        </w:tabs>
        <w:spacing w:before="74"/>
        <w:ind w:left="79" w:right="0" w:firstLine="0"/>
        <w:jc w:val="center"/>
        <w:rPr>
          <w:sz w:val="18"/>
        </w:rPr>
      </w:pPr>
      <w:r>
        <w:rPr>
          <w:sz w:val="18"/>
        </w:rPr>
        <w:t>一级工程师</w:t>
        <w:tab/>
        <w:t>二级工程师</w:t>
        <w:tab/>
        <w:t>三级工程师</w:t>
      </w:r>
    </w:p>
    <w:p>
      <w:pPr>
        <w:pStyle w:val="BodyText"/>
        <w:spacing w:before="2"/>
        <w:ind w:left="0"/>
        <w:rPr>
          <w:sz w:val="29"/>
        </w:rPr>
      </w:pPr>
    </w:p>
    <w:p>
      <w:pPr>
        <w:spacing w:before="80"/>
        <w:ind w:left="3064" w:right="0" w:firstLine="0"/>
        <w:jc w:val="left"/>
        <w:rPr>
          <w:sz w:val="18"/>
        </w:rPr>
      </w:pPr>
      <w:r>
        <w:rPr>
          <w:sz w:val="18"/>
        </w:rPr>
        <w:t>图 </w:t>
      </w:r>
      <w:r>
        <w:rPr>
          <w:rFonts w:ascii="Times New Roman" w:eastAsia="Times New Roman"/>
          <w:sz w:val="18"/>
        </w:rPr>
        <w:t>6-2 </w:t>
      </w:r>
      <w:r>
        <w:rPr>
          <w:sz w:val="18"/>
        </w:rPr>
        <w:t>工程师薪酬调查数据的回归分析</w:t>
      </w:r>
    </w:p>
    <w:p>
      <w:pPr>
        <w:pStyle w:val="BodyText"/>
        <w:ind w:left="0"/>
        <w:rPr>
          <w:sz w:val="20"/>
        </w:rPr>
      </w:pPr>
    </w:p>
    <w:p>
      <w:pPr>
        <w:pStyle w:val="BodyText"/>
        <w:spacing w:before="4"/>
        <w:ind w:left="0"/>
        <w:rPr>
          <w:sz w:val="18"/>
        </w:rPr>
      </w:pPr>
    </w:p>
    <w:p>
      <w:pPr>
        <w:pStyle w:val="Heading1"/>
        <w:ind w:left="640"/>
        <w:rPr>
          <w:rFonts w:ascii="宋体" w:eastAsia="宋体" w:hint="eastAsia"/>
        </w:rPr>
      </w:pPr>
      <w:r>
        <w:rPr>
          <w:rFonts w:ascii="宋体" w:eastAsia="宋体" w:hint="eastAsia"/>
        </w:rPr>
        <w:t>三、薪酬定位</w:t>
      </w:r>
    </w:p>
    <w:p>
      <w:pPr>
        <w:pStyle w:val="BodyText"/>
        <w:spacing w:line="321" w:lineRule="auto" w:before="101"/>
        <w:ind w:right="219" w:firstLine="420"/>
      </w:pPr>
      <w:r>
        <w:rPr>
          <w:spacing w:val="-4"/>
          <w:w w:val="95"/>
        </w:rPr>
        <w:t>薪酬专业人员在对本企业的薪酬定位可以有四种策略：一是市场领先型薪酬定位；二是  </w:t>
      </w:r>
      <w:r>
        <w:rPr>
          <w:spacing w:val="-4"/>
        </w:rPr>
        <w:t>市场滞后型薪酬定位；三是市场对应型薪酬定位；四是混合型的薪酬定位。</w:t>
      </w:r>
    </w:p>
    <w:p>
      <w:pPr>
        <w:spacing w:after="0" w:line="321" w:lineRule="auto"/>
        <w:sectPr>
          <w:type w:val="continuous"/>
          <w:pgSz w:w="11910" w:h="16840"/>
          <w:pgMar w:top="1820" w:bottom="2080" w:left="1580" w:right="1580"/>
        </w:sectPr>
      </w:pPr>
    </w:p>
    <w:p>
      <w:pPr>
        <w:pStyle w:val="BodyText"/>
        <w:spacing w:line="321" w:lineRule="auto" w:before="144"/>
        <w:ind w:right="219" w:firstLine="420"/>
        <w:jc w:val="both"/>
      </w:pPr>
      <w:bookmarkStart w:name="_bookmark2" w:id="3"/>
      <w:bookmarkEnd w:id="3"/>
      <w:r>
        <w:rPr/>
      </w:r>
      <w:r>
        <w:rPr>
          <w:spacing w:val="-3"/>
          <w:w w:val="95"/>
        </w:rPr>
        <w:t>采用市场领先型的薪酬定位的公司给员工的报酬高于市场的大多数的竞争者，从而使公   </w:t>
      </w:r>
      <w:r>
        <w:rPr>
          <w:spacing w:val="-10"/>
          <w:w w:val="95"/>
        </w:rPr>
        <w:t>司更具有竞争力，能够吸引和留住更多的人才，这些公司的薪酬水平在市场典型薪酬线的上   </w:t>
      </w:r>
      <w:r>
        <w:rPr>
          <w:spacing w:val="-21"/>
        </w:rPr>
        <w:t>方，如图 </w:t>
      </w:r>
      <w:r>
        <w:rPr/>
        <w:t>6-1</w:t>
      </w:r>
      <w:r>
        <w:rPr>
          <w:spacing w:val="-20"/>
        </w:rPr>
        <w:t>、图 </w:t>
      </w:r>
      <w:r>
        <w:rPr/>
        <w:t>6-2。采用市场滞后型的薪酬定位的公司给员工的报酬低于其他竞争者， </w:t>
      </w:r>
      <w:r>
        <w:rPr>
          <w:spacing w:val="-6"/>
          <w:w w:val="95"/>
        </w:rPr>
        <w:t>同样也使公司具有竞争力，但可能会流失一些优秀人才，这些公司的薪酬水平在市场典型薪   </w:t>
      </w:r>
      <w:r>
        <w:rPr>
          <w:spacing w:val="-11"/>
          <w:w w:val="95"/>
        </w:rPr>
        <w:t>酬线的下方。采取市场对应型的薪酬定位的公司紧跟市场典型的薪酬线，他们是根据市场的   </w:t>
      </w:r>
      <w:r>
        <w:rPr>
          <w:spacing w:val="-15"/>
          <w:w w:val="95"/>
        </w:rPr>
        <w:t>工资水平来确定本公司的薪酬。采用混合型薪酬定位的公司可能会分析对不同的职务或职位   </w:t>
      </w:r>
      <w:r>
        <w:rPr>
          <w:spacing w:val="-15"/>
        </w:rPr>
        <w:t>采用前三种薪酬定位策略。</w:t>
      </w:r>
    </w:p>
    <w:p>
      <w:pPr>
        <w:pStyle w:val="BodyText"/>
        <w:spacing w:line="321" w:lineRule="auto"/>
        <w:ind w:right="114" w:firstLine="420"/>
      </w:pPr>
      <w:r>
        <w:rPr>
          <w:spacing w:val="-5"/>
        </w:rPr>
        <w:t>把一家公司的薪酬水平定位一个什么样的水平，反映了一个企业的分配哲学，同时也受</w:t>
      </w:r>
      <w:r>
        <w:rPr>
          <w:spacing w:val="-10"/>
        </w:rPr>
        <w:t>到了各种因素的影响，从公司的外部来看，国家的宏观经济、通货膨胀、行业的特点和行业</w:t>
      </w:r>
      <w:r>
        <w:rPr>
          <w:spacing w:val="-16"/>
          <w:w w:val="95"/>
        </w:rPr>
        <w:t>竞争、人才供应状况、甚至外币汇率的变化，都对薪酬定位和工资的增长有不同程度的影响。   </w:t>
      </w:r>
      <w:r>
        <w:rPr>
          <w:spacing w:val="-14"/>
        </w:rPr>
        <w:t>在公司内部，公司的盈利能力和支付能力、人员的素质要求是决定薪酬水平的关键因素；还企业的发展阶段、人力市场的供求、公司的市场品牌和综合实力，也是重要影响因素。</w:t>
      </w:r>
    </w:p>
    <w:p>
      <w:pPr>
        <w:pStyle w:val="BodyText"/>
        <w:ind w:left="0"/>
        <w:rPr>
          <w:sz w:val="25"/>
        </w:rPr>
      </w:pPr>
    </w:p>
    <w:p>
      <w:pPr>
        <w:pStyle w:val="Heading1"/>
        <w:ind w:left="640"/>
        <w:rPr>
          <w:rFonts w:ascii="宋体" w:hAnsi="宋体" w:eastAsia="宋体" w:hint="eastAsia"/>
          <w:b w:val="0"/>
          <w:sz w:val="10"/>
        </w:rPr>
      </w:pPr>
      <w:r>
        <w:rPr/>
        <w:t>案例 6-2 Vantone（万通）公司的薪酬定位</w:t>
      </w:r>
      <w:hyperlink w:history="true" w:anchor="_bookmark2">
        <w:r>
          <w:rPr>
            <w:rFonts w:ascii="宋体" w:hAnsi="宋体" w:eastAsia="宋体" w:hint="eastAsia"/>
            <w:b w:val="0"/>
            <w:position w:val="11"/>
            <w:sz w:val="10"/>
          </w:rPr>
          <w:t>③</w:t>
        </w:r>
      </w:hyperlink>
    </w:p>
    <w:p>
      <w:pPr>
        <w:pStyle w:val="BodyText"/>
        <w:spacing w:before="65"/>
        <w:ind w:left="640"/>
      </w:pPr>
      <w:r>
        <w:rPr/>
        <w:t>万通根据人才类型确定了不同的薪酬定位，见图 6-3:</w:t>
      </w:r>
    </w:p>
    <w:p>
      <w:pPr>
        <w:pStyle w:val="BodyText"/>
        <w:spacing w:before="1"/>
        <w:ind w:left="0"/>
        <w:rPr>
          <w:sz w:val="11"/>
        </w:rPr>
      </w:pPr>
      <w:r>
        <w:rPr/>
        <w:drawing>
          <wp:anchor distT="0" distB="0" distL="0" distR="0" allowOverlap="1" layoutInCell="1" locked="0" behindDoc="0" simplePos="0" relativeHeight="28">
            <wp:simplePos x="0" y="0"/>
            <wp:positionH relativeFrom="page">
              <wp:posOffset>1171128</wp:posOffset>
            </wp:positionH>
            <wp:positionV relativeFrom="paragraph">
              <wp:posOffset>114984</wp:posOffset>
            </wp:positionV>
            <wp:extent cx="4806761" cy="2576512"/>
            <wp:effectExtent l="0" t="0" r="0" b="0"/>
            <wp:wrapTopAndBottom/>
            <wp:docPr id="9" name="image10.png"/>
            <wp:cNvGraphicFramePr>
              <a:graphicFrameLocks noChangeAspect="1"/>
            </wp:cNvGraphicFramePr>
            <a:graphic>
              <a:graphicData uri="http://schemas.openxmlformats.org/drawingml/2006/picture">
                <pic:pic>
                  <pic:nvPicPr>
                    <pic:cNvPr id="10" name="image10.png"/>
                    <pic:cNvPicPr/>
                  </pic:nvPicPr>
                  <pic:blipFill>
                    <a:blip r:embed="rId18" cstate="print"/>
                    <a:stretch>
                      <a:fillRect/>
                    </a:stretch>
                  </pic:blipFill>
                  <pic:spPr>
                    <a:xfrm>
                      <a:off x="0" y="0"/>
                      <a:ext cx="4806761" cy="2576512"/>
                    </a:xfrm>
                    <a:prstGeom prst="rect">
                      <a:avLst/>
                    </a:prstGeom>
                  </pic:spPr>
                </pic:pic>
              </a:graphicData>
            </a:graphic>
          </wp:anchor>
        </w:drawing>
      </w:r>
    </w:p>
    <w:p>
      <w:pPr>
        <w:spacing w:before="157"/>
        <w:ind w:left="1623" w:right="0" w:firstLine="0"/>
        <w:jc w:val="left"/>
        <w:rPr>
          <w:sz w:val="18"/>
        </w:rPr>
      </w:pPr>
      <w:r>
        <w:rPr>
          <w:sz w:val="18"/>
        </w:rPr>
        <w:t>图 </w:t>
      </w:r>
      <w:r>
        <w:rPr>
          <w:rFonts w:ascii="Times New Roman" w:eastAsia="Times New Roman"/>
          <w:sz w:val="18"/>
        </w:rPr>
        <w:t>6-3 </w:t>
      </w:r>
      <w:r>
        <w:rPr>
          <w:sz w:val="18"/>
        </w:rPr>
        <w:t>万通公司的薪酬定位</w:t>
      </w:r>
    </w:p>
    <w:p>
      <w:pPr>
        <w:pStyle w:val="BodyText"/>
        <w:tabs>
          <w:tab w:pos="1105" w:val="left" w:leader="none"/>
        </w:tabs>
        <w:spacing w:before="154"/>
        <w:ind w:left="580"/>
      </w:pPr>
      <w:r>
        <w:rPr/>
        <w:t>1.</w:t>
        <w:tab/>
        <w:t>普通职员（43</w:t>
      </w:r>
      <w:r>
        <w:rPr>
          <w:spacing w:val="-19"/>
        </w:rPr>
        <w:t> 级—</w:t>
      </w:r>
      <w:r>
        <w:rPr/>
        <w:t>47</w:t>
      </w:r>
      <w:r>
        <w:rPr>
          <w:spacing w:val="-26"/>
        </w:rPr>
        <w:t> 级</w:t>
      </w:r>
      <w:r>
        <w:rPr/>
        <w:t>）：</w:t>
      </w:r>
    </w:p>
    <w:p>
      <w:pPr>
        <w:pStyle w:val="ListParagraph"/>
        <w:numPr>
          <w:ilvl w:val="0"/>
          <w:numId w:val="4"/>
        </w:numPr>
        <w:tabs>
          <w:tab w:pos="939" w:val="left" w:leader="none"/>
          <w:tab w:pos="940" w:val="left" w:leader="none"/>
        </w:tabs>
        <w:spacing w:line="240" w:lineRule="auto" w:before="113" w:after="0"/>
        <w:ind w:left="940" w:right="0" w:hanging="360"/>
        <w:jc w:val="left"/>
        <w:rPr>
          <w:sz w:val="21"/>
        </w:rPr>
      </w:pPr>
      <w:r>
        <w:rPr>
          <w:sz w:val="21"/>
        </w:rPr>
        <w:t>人才市场供应量较大，薪资要求不高,公司对于岗位的要求不高；</w:t>
      </w:r>
    </w:p>
    <w:p>
      <w:pPr>
        <w:pStyle w:val="ListParagraph"/>
        <w:numPr>
          <w:ilvl w:val="0"/>
          <w:numId w:val="4"/>
        </w:numPr>
        <w:tabs>
          <w:tab w:pos="939" w:val="left" w:leader="none"/>
          <w:tab w:pos="940" w:val="left" w:leader="none"/>
        </w:tabs>
        <w:spacing w:line="240" w:lineRule="auto" w:before="110" w:after="0"/>
        <w:ind w:left="940" w:right="0" w:hanging="360"/>
        <w:jc w:val="left"/>
        <w:rPr>
          <w:sz w:val="21"/>
        </w:rPr>
      </w:pPr>
      <w:r>
        <w:rPr>
          <w:sz w:val="21"/>
        </w:rPr>
        <w:t>市场定薪原则：低风险，低回报；</w:t>
      </w:r>
    </w:p>
    <w:p>
      <w:pPr>
        <w:pStyle w:val="ListParagraph"/>
        <w:numPr>
          <w:ilvl w:val="0"/>
          <w:numId w:val="4"/>
        </w:numPr>
        <w:tabs>
          <w:tab w:pos="939" w:val="left" w:leader="none"/>
          <w:tab w:pos="940" w:val="left" w:leader="none"/>
        </w:tabs>
        <w:spacing w:line="240" w:lineRule="auto" w:before="110" w:after="0"/>
        <w:ind w:left="940" w:right="0" w:hanging="360"/>
        <w:jc w:val="left"/>
        <w:rPr>
          <w:sz w:val="21"/>
        </w:rPr>
      </w:pPr>
      <w:r>
        <w:rPr>
          <w:spacing w:val="-4"/>
          <w:sz w:val="21"/>
        </w:rPr>
        <w:t>万通薪酬定位：目标市场的 </w:t>
      </w:r>
      <w:r>
        <w:rPr>
          <w:sz w:val="21"/>
        </w:rPr>
        <w:t>50P—60P</w:t>
      </w:r>
    </w:p>
    <w:p>
      <w:pPr>
        <w:pStyle w:val="BodyText"/>
        <w:tabs>
          <w:tab w:pos="999" w:val="left" w:leader="none"/>
        </w:tabs>
        <w:spacing w:before="113"/>
        <w:ind w:left="580"/>
      </w:pPr>
      <w:r>
        <w:rPr/>
        <w:t>2.</w:t>
        <w:tab/>
        <w:t>中层经理及专业类职员（48</w:t>
      </w:r>
      <w:r>
        <w:rPr>
          <w:spacing w:val="-18"/>
        </w:rPr>
        <w:t> 级—</w:t>
      </w:r>
      <w:r>
        <w:rPr/>
        <w:t>57</w:t>
      </w:r>
      <w:r>
        <w:rPr>
          <w:spacing w:val="-27"/>
        </w:rPr>
        <w:t> 级</w:t>
      </w:r>
      <w:r>
        <w:rPr/>
        <w:t>）：</w:t>
      </w:r>
    </w:p>
    <w:p>
      <w:pPr>
        <w:pStyle w:val="BodyText"/>
        <w:ind w:left="0"/>
        <w:rPr>
          <w:sz w:val="20"/>
        </w:rPr>
      </w:pPr>
    </w:p>
    <w:p>
      <w:pPr>
        <w:pStyle w:val="BodyText"/>
        <w:ind w:left="0"/>
        <w:rPr>
          <w:sz w:val="14"/>
        </w:rPr>
      </w:pPr>
      <w:r>
        <w:rPr/>
        <w:pict>
          <v:line style="position:absolute;mso-position-horizontal-relative:page;mso-position-vertical-relative:paragraph;z-index:-251628544;mso-wrap-distance-left:0;mso-wrap-distance-right:0" from="90pt,10.928029pt" to="234pt,10.928029pt" stroked="true" strokeweight="0pt" strokecolor="#000000">
            <v:stroke dashstyle="solid"/>
            <w10:wrap type="topAndBottom"/>
          </v:line>
        </w:pict>
      </w:r>
    </w:p>
    <w:p>
      <w:pPr>
        <w:spacing w:after="0"/>
        <w:rPr>
          <w:sz w:val="14"/>
        </w:rPr>
        <w:sectPr>
          <w:pgSz w:w="11910" w:h="16840"/>
          <w:pgMar w:header="852" w:footer="1829" w:top="1820" w:bottom="2100" w:left="1580" w:right="1580"/>
        </w:sectPr>
      </w:pPr>
    </w:p>
    <w:p>
      <w:pPr>
        <w:pStyle w:val="ListParagraph"/>
        <w:numPr>
          <w:ilvl w:val="0"/>
          <w:numId w:val="4"/>
        </w:numPr>
        <w:tabs>
          <w:tab w:pos="939" w:val="left" w:leader="none"/>
          <w:tab w:pos="940" w:val="left" w:leader="none"/>
        </w:tabs>
        <w:spacing w:line="338" w:lineRule="auto" w:before="161" w:after="0"/>
        <w:ind w:left="940" w:right="220" w:hanging="360"/>
        <w:jc w:val="left"/>
        <w:rPr>
          <w:sz w:val="21"/>
        </w:rPr>
      </w:pPr>
      <w:r>
        <w:rPr>
          <w:sz w:val="21"/>
        </w:rPr>
        <w:t>公司对此类人才的岗位要求较高，人才市场竞争较强，个人薪资要求较高，是公司需要吸引和保留的人才</w:t>
      </w:r>
    </w:p>
    <w:p>
      <w:pPr>
        <w:pStyle w:val="ListParagraph"/>
        <w:numPr>
          <w:ilvl w:val="0"/>
          <w:numId w:val="4"/>
        </w:numPr>
        <w:tabs>
          <w:tab w:pos="939" w:val="left" w:leader="none"/>
          <w:tab w:pos="940" w:val="left" w:leader="none"/>
        </w:tabs>
        <w:spacing w:line="240" w:lineRule="auto" w:before="2" w:after="0"/>
        <w:ind w:left="940" w:right="0" w:hanging="360"/>
        <w:jc w:val="left"/>
        <w:rPr>
          <w:sz w:val="21"/>
        </w:rPr>
      </w:pPr>
      <w:r>
        <w:rPr>
          <w:sz w:val="21"/>
        </w:rPr>
        <w:t>市场定薪原则：中偏高风险，中偏高回报。</w:t>
      </w:r>
    </w:p>
    <w:p>
      <w:pPr>
        <w:pStyle w:val="ListParagraph"/>
        <w:numPr>
          <w:ilvl w:val="0"/>
          <w:numId w:val="4"/>
        </w:numPr>
        <w:tabs>
          <w:tab w:pos="939" w:val="left" w:leader="none"/>
          <w:tab w:pos="940" w:val="left" w:leader="none"/>
          <w:tab w:pos="999" w:val="left" w:leader="none"/>
        </w:tabs>
        <w:spacing w:line="338" w:lineRule="auto" w:before="110" w:after="0"/>
        <w:ind w:left="580" w:right="4495" w:firstLine="0"/>
        <w:jc w:val="left"/>
        <w:rPr>
          <w:sz w:val="21"/>
        </w:rPr>
      </w:pPr>
      <w:r>
        <w:rPr>
          <w:sz w:val="21"/>
        </w:rPr>
        <w:t>万通薪酬定位：目标市场的</w:t>
      </w:r>
      <w:r>
        <w:rPr>
          <w:spacing w:val="-57"/>
          <w:sz w:val="21"/>
        </w:rPr>
        <w:t> </w:t>
      </w:r>
      <w:r>
        <w:rPr>
          <w:sz w:val="21"/>
        </w:rPr>
        <w:t>70--80P 3.</w:t>
        <w:tab/>
        <w:tab/>
        <w:t>高层经理（58</w:t>
      </w:r>
      <w:r>
        <w:rPr>
          <w:spacing w:val="-53"/>
          <w:sz w:val="21"/>
        </w:rPr>
        <w:t> </w:t>
      </w:r>
      <w:r>
        <w:rPr>
          <w:sz w:val="21"/>
        </w:rPr>
        <w:t>级—61</w:t>
      </w:r>
      <w:r>
        <w:rPr>
          <w:spacing w:val="-54"/>
          <w:sz w:val="21"/>
        </w:rPr>
        <w:t> </w:t>
      </w:r>
      <w:r>
        <w:rPr>
          <w:sz w:val="21"/>
        </w:rPr>
        <w:t>级）：</w:t>
      </w:r>
    </w:p>
    <w:p>
      <w:pPr>
        <w:pStyle w:val="ListParagraph"/>
        <w:numPr>
          <w:ilvl w:val="0"/>
          <w:numId w:val="4"/>
        </w:numPr>
        <w:tabs>
          <w:tab w:pos="939" w:val="left" w:leader="none"/>
          <w:tab w:pos="940" w:val="left" w:leader="none"/>
          <w:tab w:pos="1674" w:val="left" w:leader="none"/>
        </w:tabs>
        <w:spacing w:line="338" w:lineRule="auto" w:before="3" w:after="0"/>
        <w:ind w:left="940" w:right="220" w:hanging="360"/>
        <w:jc w:val="left"/>
        <w:rPr>
          <w:sz w:val="21"/>
        </w:rPr>
      </w:pPr>
      <w:r>
        <w:rPr>
          <w:sz w:val="21"/>
        </w:rPr>
        <w:t>岗位对公司的影响重大，公司对岗位的要求很高，人才市场紧缺，很难找到合适的人才,</w:t>
        <w:tab/>
        <w:t>是公司需要重点保留和激励的人才；</w:t>
      </w:r>
    </w:p>
    <w:p>
      <w:pPr>
        <w:pStyle w:val="ListParagraph"/>
        <w:numPr>
          <w:ilvl w:val="0"/>
          <w:numId w:val="4"/>
        </w:numPr>
        <w:tabs>
          <w:tab w:pos="939" w:val="left" w:leader="none"/>
          <w:tab w:pos="940" w:val="left" w:leader="none"/>
        </w:tabs>
        <w:spacing w:line="269" w:lineRule="exact" w:before="0" w:after="0"/>
        <w:ind w:left="940" w:right="0" w:hanging="360"/>
        <w:jc w:val="left"/>
        <w:rPr>
          <w:sz w:val="21"/>
        </w:rPr>
      </w:pPr>
      <w:r>
        <w:rPr>
          <w:w w:val="95"/>
          <w:sz w:val="21"/>
        </w:rPr>
        <w:t>市场定薪原则：高风险，高回报。</w:t>
      </w:r>
    </w:p>
    <w:p>
      <w:pPr>
        <w:pStyle w:val="ListParagraph"/>
        <w:numPr>
          <w:ilvl w:val="0"/>
          <w:numId w:val="4"/>
        </w:numPr>
        <w:tabs>
          <w:tab w:pos="939" w:val="left" w:leader="none"/>
          <w:tab w:pos="940" w:val="left" w:leader="none"/>
        </w:tabs>
        <w:spacing w:line="240" w:lineRule="auto" w:before="112" w:after="0"/>
        <w:ind w:left="940" w:right="0" w:hanging="360"/>
        <w:jc w:val="left"/>
        <w:rPr>
          <w:sz w:val="21"/>
        </w:rPr>
      </w:pPr>
      <w:r>
        <w:rPr>
          <w:spacing w:val="-4"/>
          <w:sz w:val="21"/>
        </w:rPr>
        <w:t>万通薪酬定位：目标市场的 </w:t>
      </w:r>
      <w:r>
        <w:rPr>
          <w:sz w:val="21"/>
        </w:rPr>
        <w:t>80P—90P</w:t>
      </w:r>
    </w:p>
    <w:p>
      <w:pPr>
        <w:pStyle w:val="BodyText"/>
        <w:spacing w:before="12"/>
        <w:ind w:left="0"/>
        <w:rPr>
          <w:sz w:val="29"/>
        </w:rPr>
      </w:pPr>
    </w:p>
    <w:p>
      <w:pPr>
        <w:pStyle w:val="Heading1"/>
        <w:spacing w:line="378" w:lineRule="exact" w:before="1"/>
        <w:ind w:left="640"/>
      </w:pPr>
      <w:r>
        <w:rPr/>
        <w:t>案例 6-3 香港公务员薪酬水平调查方法</w:t>
      </w:r>
    </w:p>
    <w:p>
      <w:pPr>
        <w:spacing w:line="266" w:lineRule="auto" w:before="0"/>
        <w:ind w:left="220" w:right="162" w:firstLine="420"/>
        <w:jc w:val="both"/>
        <w:rPr>
          <w:sz w:val="22"/>
        </w:rPr>
      </w:pPr>
      <w:r>
        <w:rPr>
          <w:sz w:val="21"/>
        </w:rPr>
        <w:t>该报告由美国著名的人力资源管理咨询公司Hay Group</w:t>
      </w:r>
      <w:r>
        <w:rPr>
          <w:spacing w:val="-2"/>
          <w:sz w:val="21"/>
        </w:rPr>
        <w:t> 撰写，主要包括</w:t>
      </w:r>
      <w:r>
        <w:rPr>
          <w:spacing w:val="-3"/>
          <w:sz w:val="22"/>
        </w:rPr>
        <w:t>引言、比较公</w:t>
      </w:r>
      <w:r>
        <w:rPr>
          <w:spacing w:val="-6"/>
          <w:sz w:val="22"/>
        </w:rPr>
        <w:t>务员职位和私营机构职位的方法以及选取比较职位的方法、将比较职位按职位属系及职</w:t>
      </w:r>
      <w:r>
        <w:rPr>
          <w:spacing w:val="-3"/>
          <w:sz w:val="22"/>
        </w:rPr>
        <w:t>位级别分类、选取纳入调查范围的私营机构 、数据资料 、搜集数据程序、数据分析、</w:t>
      </w:r>
      <w:r>
        <w:rPr>
          <w:spacing w:val="-8"/>
          <w:sz w:val="22"/>
        </w:rPr>
        <w:t>薪酬趋势调查、下一步工作等几个部分，该报告完成展示了薪酬调查应该如何进行。下</w:t>
      </w:r>
      <w:r>
        <w:rPr>
          <w:spacing w:val="-3"/>
          <w:sz w:val="22"/>
        </w:rPr>
        <w:t>面只是该报告的部分摘要，以读者了解薪酬调查的一般方法和程序。</w:t>
      </w:r>
    </w:p>
    <w:p>
      <w:pPr>
        <w:pStyle w:val="Heading1"/>
        <w:numPr>
          <w:ilvl w:val="0"/>
          <w:numId w:val="5"/>
        </w:numPr>
        <w:tabs>
          <w:tab w:pos="537" w:val="left" w:leader="none"/>
        </w:tabs>
        <w:spacing w:line="373" w:lineRule="exact" w:before="0" w:after="0"/>
        <w:ind w:left="536" w:right="0" w:hanging="317"/>
        <w:jc w:val="both"/>
      </w:pPr>
      <w:r>
        <w:rPr/>
        <w:t>引言</w:t>
      </w:r>
    </w:p>
    <w:p>
      <w:pPr>
        <w:pStyle w:val="ListParagraph"/>
        <w:numPr>
          <w:ilvl w:val="1"/>
          <w:numId w:val="6"/>
        </w:numPr>
        <w:tabs>
          <w:tab w:pos="746" w:val="left" w:leader="none"/>
        </w:tabs>
        <w:spacing w:line="321" w:lineRule="auto" w:before="34" w:after="0"/>
        <w:ind w:left="220" w:right="219" w:firstLine="0"/>
        <w:jc w:val="both"/>
        <w:rPr>
          <w:sz w:val="21"/>
        </w:rPr>
      </w:pPr>
      <w:r>
        <w:rPr>
          <w:sz w:val="21"/>
        </w:rPr>
        <w:t>为使公务员队伍的管理不断改善，与时并进，并响应公众对现有公务员薪酬调整机制</w:t>
      </w:r>
      <w:r>
        <w:rPr>
          <w:spacing w:val="-9"/>
          <w:w w:val="95"/>
          <w:sz w:val="21"/>
        </w:rPr>
        <w:t>的意见，香港特别行政区政府在二零零三年二月决定，经咨询员工的意见及在现行机制的基   </w:t>
      </w:r>
      <w:r>
        <w:rPr>
          <w:spacing w:val="-11"/>
          <w:w w:val="95"/>
          <w:sz w:val="21"/>
        </w:rPr>
        <w:t>础上，制定一套更完备的公务员薪酬调整机制。该机制将包括︰用以比较公务员的薪酬水平   </w:t>
      </w:r>
      <w:r>
        <w:rPr>
          <w:spacing w:val="-15"/>
          <w:w w:val="95"/>
          <w:sz w:val="21"/>
        </w:rPr>
        <w:t>和私营机构员工薪酬水平而定期进行的薪酬水平调查、根据改良的调查方法按年进行的薪酬   </w:t>
      </w:r>
      <w:r>
        <w:rPr>
          <w:spacing w:val="-13"/>
          <w:w w:val="95"/>
          <w:sz w:val="21"/>
        </w:rPr>
        <w:t>趋势调查，以及一个可以向上和向下调整公务员薪酬的有效方法。制定更完备的公务员薪酬   </w:t>
      </w:r>
      <w:r>
        <w:rPr>
          <w:spacing w:val="-13"/>
          <w:sz w:val="21"/>
        </w:rPr>
        <w:t>调整机制的有关政策考虑因素包括以下各点：</w:t>
      </w:r>
    </w:p>
    <w:p>
      <w:pPr>
        <w:pStyle w:val="ListParagraph"/>
        <w:numPr>
          <w:ilvl w:val="0"/>
          <w:numId w:val="7"/>
        </w:numPr>
        <w:tabs>
          <w:tab w:pos="640" w:val="left" w:leader="none"/>
        </w:tabs>
        <w:spacing w:line="321" w:lineRule="auto" w:before="0" w:after="0"/>
        <w:ind w:left="220" w:right="219" w:firstLine="0"/>
        <w:jc w:val="both"/>
        <w:rPr>
          <w:sz w:val="21"/>
        </w:rPr>
      </w:pPr>
      <w:r>
        <w:rPr>
          <w:spacing w:val="-3"/>
          <w:w w:val="95"/>
          <w:sz w:val="21"/>
        </w:rPr>
        <w:t>更完备的公务员薪酬调整机制应能达致公务员薪酬政策方面一贯的目标，即提供足够的   </w:t>
      </w:r>
      <w:r>
        <w:rPr>
          <w:spacing w:val="-10"/>
          <w:w w:val="95"/>
          <w:sz w:val="21"/>
        </w:rPr>
        <w:t>薪酬去吸引、保留及激励有合适才干的人，为市民提供有效能和有效率的服务。这个薪酬应   </w:t>
      </w:r>
      <w:r>
        <w:rPr>
          <w:spacing w:val="-10"/>
          <w:sz w:val="21"/>
        </w:rPr>
        <w:t>是公务员本身和他们所服务的市民都认为是公平的。</w:t>
      </w:r>
    </w:p>
    <w:p>
      <w:pPr>
        <w:pStyle w:val="ListParagraph"/>
        <w:numPr>
          <w:ilvl w:val="0"/>
          <w:numId w:val="7"/>
        </w:numPr>
        <w:tabs>
          <w:tab w:pos="640" w:val="left" w:leader="none"/>
        </w:tabs>
        <w:spacing w:line="267" w:lineRule="exact" w:before="0" w:after="0"/>
        <w:ind w:left="640" w:right="0" w:hanging="420"/>
        <w:jc w:val="both"/>
        <w:rPr>
          <w:sz w:val="21"/>
        </w:rPr>
      </w:pPr>
      <w:r>
        <w:rPr>
          <w:sz w:val="21"/>
        </w:rPr>
        <w:t>更完备的公务员薪酬调整机制应有助秉持和培养公务员队伍的基本信念。</w:t>
      </w:r>
    </w:p>
    <w:p>
      <w:pPr>
        <w:pStyle w:val="ListParagraph"/>
        <w:numPr>
          <w:ilvl w:val="0"/>
          <w:numId w:val="7"/>
        </w:numPr>
        <w:tabs>
          <w:tab w:pos="640" w:val="left" w:leader="none"/>
        </w:tabs>
        <w:spacing w:line="321" w:lineRule="auto" w:before="88" w:after="0"/>
        <w:ind w:left="220" w:right="335" w:firstLine="0"/>
        <w:jc w:val="both"/>
        <w:rPr>
          <w:sz w:val="21"/>
        </w:rPr>
      </w:pPr>
      <w:r>
        <w:rPr>
          <w:w w:val="95"/>
          <w:sz w:val="21"/>
        </w:rPr>
        <w:t>更完备的公务员薪酬调整机制应有助维持一支稳定和竭诚效力政府的公务员队伍，同  </w:t>
      </w:r>
      <w:r>
        <w:rPr>
          <w:sz w:val="21"/>
        </w:rPr>
        <w:t>时，亦应保持公务员制度的灵活性，以便因应巿民的需要作出适当调整。</w:t>
      </w:r>
    </w:p>
    <w:p>
      <w:pPr>
        <w:pStyle w:val="ListParagraph"/>
        <w:numPr>
          <w:ilvl w:val="0"/>
          <w:numId w:val="7"/>
        </w:numPr>
        <w:tabs>
          <w:tab w:pos="640" w:val="left" w:leader="none"/>
        </w:tabs>
        <w:spacing w:line="321" w:lineRule="auto" w:before="0" w:after="0"/>
        <w:ind w:left="220" w:right="219" w:firstLine="0"/>
        <w:jc w:val="both"/>
        <w:rPr>
          <w:sz w:val="21"/>
        </w:rPr>
      </w:pPr>
      <w:r>
        <w:rPr>
          <w:spacing w:val="-5"/>
          <w:w w:val="95"/>
          <w:sz w:val="21"/>
        </w:rPr>
        <w:t>鉴于公务员队伍与私营机构在运作性质、聘用和薪酬政策、以及工作性质和要求各方面   </w:t>
      </w:r>
      <w:r>
        <w:rPr>
          <w:spacing w:val="-11"/>
          <w:w w:val="95"/>
          <w:sz w:val="21"/>
        </w:rPr>
        <w:t>存有差异，更完备的公务员薪酬调整机制应遵循既定原则，维持公务员薪酬与私营机构雇员   </w:t>
      </w:r>
      <w:r>
        <w:rPr>
          <w:spacing w:val="-11"/>
          <w:sz w:val="21"/>
        </w:rPr>
        <w:t>薪酬大致相若，而非紧贴私营机构雇员薪酬。</w:t>
      </w:r>
    </w:p>
    <w:p>
      <w:pPr>
        <w:pStyle w:val="ListParagraph"/>
        <w:numPr>
          <w:ilvl w:val="0"/>
          <w:numId w:val="7"/>
        </w:numPr>
        <w:tabs>
          <w:tab w:pos="640" w:val="left" w:leader="none"/>
        </w:tabs>
        <w:spacing w:line="321" w:lineRule="auto" w:before="0" w:after="0"/>
        <w:ind w:left="220" w:right="219" w:firstLine="0"/>
        <w:jc w:val="both"/>
        <w:rPr>
          <w:sz w:val="21"/>
        </w:rPr>
      </w:pPr>
      <w:r>
        <w:rPr>
          <w:spacing w:val="-5"/>
          <w:w w:val="95"/>
          <w:sz w:val="21"/>
        </w:rPr>
        <w:t>现行的公务员薪酬制度建基于资历组别制度，并由政府中央管理，有助在厘定众多不同   </w:t>
      </w:r>
      <w:r>
        <w:rPr>
          <w:spacing w:val="-10"/>
          <w:w w:val="95"/>
          <w:sz w:val="21"/>
        </w:rPr>
        <w:t>公务员职系和职级的薪酬水平时，保持某程度的一致性和公平性。更完备的公务员薪酬调整   </w:t>
      </w:r>
      <w:r>
        <w:rPr>
          <w:spacing w:val="-10"/>
          <w:sz w:val="21"/>
        </w:rPr>
        <w:t>机制应以目前各公务员职系和职级的内部薪酬对比关系为基础，直至日后就个别职系／</w:t>
      </w:r>
    </w:p>
    <w:p>
      <w:pPr>
        <w:spacing w:after="0" w:line="321" w:lineRule="auto"/>
        <w:jc w:val="both"/>
        <w:rPr>
          <w:sz w:val="21"/>
        </w:rPr>
        <w:sectPr>
          <w:pgSz w:w="11910" w:h="16840"/>
          <w:pgMar w:header="852" w:footer="1829" w:top="1820" w:bottom="2100" w:left="1580" w:right="1580"/>
        </w:sectPr>
      </w:pPr>
    </w:p>
    <w:p>
      <w:pPr>
        <w:pStyle w:val="BodyText"/>
        <w:spacing w:before="144"/>
      </w:pPr>
      <w:r>
        <w:rPr/>
        <w:t>职级进行的职系架构检讨的结果显示这些对比关系应作出调整。﹔</w:t>
      </w:r>
    </w:p>
    <w:p>
      <w:pPr>
        <w:pStyle w:val="ListParagraph"/>
        <w:numPr>
          <w:ilvl w:val="0"/>
          <w:numId w:val="7"/>
        </w:numPr>
        <w:tabs>
          <w:tab w:pos="640" w:val="left" w:leader="none"/>
        </w:tabs>
        <w:spacing w:line="321" w:lineRule="auto" w:before="91" w:after="0"/>
        <w:ind w:left="220" w:right="219" w:firstLine="0"/>
        <w:jc w:val="both"/>
        <w:rPr>
          <w:sz w:val="21"/>
        </w:rPr>
      </w:pPr>
      <w:r>
        <w:rPr>
          <w:spacing w:val="-5"/>
          <w:w w:val="95"/>
          <w:sz w:val="21"/>
        </w:rPr>
        <w:t>应确保现行公务员薪酬调整机制的任何改变，均符合《基本法》的规定，并充分顾及合   </w:t>
      </w:r>
      <w:r>
        <w:rPr>
          <w:spacing w:val="-12"/>
          <w:w w:val="95"/>
          <w:sz w:val="21"/>
        </w:rPr>
        <w:t>约方面的考虑、适用于香港的国际义务，和政府与公务员之间的雇佣关系所涉及的其它法律   </w:t>
      </w:r>
      <w:r>
        <w:rPr>
          <w:spacing w:val="-12"/>
          <w:sz w:val="21"/>
        </w:rPr>
        <w:t>事宜。</w:t>
      </w:r>
    </w:p>
    <w:p>
      <w:pPr>
        <w:pStyle w:val="ListParagraph"/>
        <w:numPr>
          <w:ilvl w:val="0"/>
          <w:numId w:val="7"/>
        </w:numPr>
        <w:tabs>
          <w:tab w:pos="640" w:val="left" w:leader="none"/>
        </w:tabs>
        <w:spacing w:line="321" w:lineRule="auto" w:before="0" w:after="0"/>
        <w:ind w:left="220" w:right="221" w:firstLine="0"/>
        <w:jc w:val="both"/>
        <w:rPr>
          <w:sz w:val="21"/>
        </w:rPr>
      </w:pPr>
      <w:r>
        <w:rPr>
          <w:spacing w:val="-8"/>
          <w:w w:val="95"/>
          <w:sz w:val="21"/>
        </w:rPr>
        <w:t>在厘定和调整公务员薪酬时，更完备的调整机制应顾及现行的每年薪酬调整机制下所考  </w:t>
      </w:r>
      <w:r>
        <w:rPr>
          <w:spacing w:val="-8"/>
          <w:sz w:val="21"/>
        </w:rPr>
        <w:t>虑的有关因素， 例如财政预算、当前经济状况、生活费用的变动及员工的意见和士气。</w:t>
      </w:r>
    </w:p>
    <w:p>
      <w:pPr>
        <w:pStyle w:val="BodyText"/>
        <w:spacing w:before="8"/>
        <w:ind w:left="0"/>
        <w:rPr>
          <w:sz w:val="19"/>
        </w:rPr>
      </w:pPr>
    </w:p>
    <w:p>
      <w:pPr>
        <w:pStyle w:val="ListParagraph"/>
        <w:numPr>
          <w:ilvl w:val="1"/>
          <w:numId w:val="6"/>
        </w:numPr>
        <w:tabs>
          <w:tab w:pos="746" w:val="left" w:leader="none"/>
        </w:tabs>
        <w:spacing w:line="240" w:lineRule="auto" w:before="1" w:after="0"/>
        <w:ind w:left="745" w:right="0" w:hanging="526"/>
        <w:jc w:val="both"/>
        <w:rPr>
          <w:sz w:val="21"/>
        </w:rPr>
      </w:pPr>
      <w:r>
        <w:rPr>
          <w:sz w:val="21"/>
        </w:rPr>
        <w:t>在制定调查方法时，顾问需考虑以下事项：</w:t>
      </w:r>
    </w:p>
    <w:p>
      <w:pPr>
        <w:pStyle w:val="ListParagraph"/>
        <w:numPr>
          <w:ilvl w:val="0"/>
          <w:numId w:val="8"/>
        </w:numPr>
        <w:tabs>
          <w:tab w:pos="640" w:val="left" w:leader="none"/>
        </w:tabs>
        <w:spacing w:line="278" w:lineRule="auto" w:before="43" w:after="0"/>
        <w:ind w:left="220" w:right="219" w:firstLine="0"/>
        <w:jc w:val="both"/>
        <w:rPr>
          <w:sz w:val="21"/>
        </w:rPr>
      </w:pPr>
      <w:r>
        <w:rPr>
          <w:spacing w:val="-4"/>
          <w:w w:val="95"/>
          <w:sz w:val="21"/>
        </w:rPr>
        <w:t>当比较公务员体系及私营机构不同级别的职位的薪酬时，需予考虑的相关因素，例如︰   </w:t>
      </w:r>
      <w:r>
        <w:rPr>
          <w:spacing w:val="-11"/>
          <w:w w:val="95"/>
          <w:sz w:val="21"/>
        </w:rPr>
        <w:t>工作性质、某些职位的具体资历要求、公务员体系及私营机构两者在薪酬政策和安排以至组   </w:t>
      </w:r>
      <w:r>
        <w:rPr>
          <w:spacing w:val="-11"/>
          <w:sz w:val="21"/>
        </w:rPr>
        <w:t>织架构等方面的差异；</w:t>
      </w:r>
    </w:p>
    <w:p>
      <w:pPr>
        <w:pStyle w:val="ListParagraph"/>
        <w:numPr>
          <w:ilvl w:val="0"/>
          <w:numId w:val="8"/>
        </w:numPr>
        <w:tabs>
          <w:tab w:pos="640" w:val="left" w:leader="none"/>
        </w:tabs>
        <w:spacing w:line="269" w:lineRule="exact" w:before="0" w:after="0"/>
        <w:ind w:left="640" w:right="0" w:hanging="420"/>
        <w:jc w:val="both"/>
        <w:rPr>
          <w:sz w:val="21"/>
        </w:rPr>
      </w:pPr>
      <w:r>
        <w:rPr>
          <w:sz w:val="21"/>
        </w:rPr>
        <w:t>如何在公务员体系及私营机构中选取具代表性的职位作适切的薪酬比较；</w:t>
      </w:r>
    </w:p>
    <w:p>
      <w:pPr>
        <w:pStyle w:val="ListParagraph"/>
        <w:numPr>
          <w:ilvl w:val="0"/>
          <w:numId w:val="8"/>
        </w:numPr>
        <w:tabs>
          <w:tab w:pos="640" w:val="left" w:leader="none"/>
        </w:tabs>
        <w:spacing w:line="240" w:lineRule="auto" w:before="43" w:after="0"/>
        <w:ind w:left="640" w:right="0" w:hanging="420"/>
        <w:jc w:val="both"/>
        <w:rPr>
          <w:sz w:val="21"/>
        </w:rPr>
      </w:pPr>
      <w:r>
        <w:rPr>
          <w:sz w:val="21"/>
        </w:rPr>
        <w:t>按哪些准则选取私营机构纳入调查范围；</w:t>
      </w:r>
    </w:p>
    <w:p>
      <w:pPr>
        <w:pStyle w:val="ListParagraph"/>
        <w:numPr>
          <w:ilvl w:val="0"/>
          <w:numId w:val="8"/>
        </w:numPr>
        <w:tabs>
          <w:tab w:pos="640" w:val="left" w:leader="none"/>
        </w:tabs>
        <w:spacing w:line="240" w:lineRule="auto" w:before="42" w:after="0"/>
        <w:ind w:left="640" w:right="0" w:hanging="420"/>
        <w:jc w:val="both"/>
        <w:rPr>
          <w:sz w:val="21"/>
        </w:rPr>
      </w:pPr>
      <w:r>
        <w:rPr>
          <w:sz w:val="21"/>
        </w:rPr>
        <w:t>向参与调查的私营机构搜集数据的详细方法和程序；</w:t>
      </w:r>
    </w:p>
    <w:p>
      <w:pPr>
        <w:pStyle w:val="ListParagraph"/>
        <w:numPr>
          <w:ilvl w:val="0"/>
          <w:numId w:val="8"/>
        </w:numPr>
        <w:tabs>
          <w:tab w:pos="640" w:val="left" w:leader="none"/>
        </w:tabs>
        <w:spacing w:line="278" w:lineRule="auto" w:before="43" w:after="0"/>
        <w:ind w:left="220" w:right="126" w:firstLine="0"/>
        <w:jc w:val="both"/>
        <w:rPr>
          <w:sz w:val="21"/>
        </w:rPr>
      </w:pPr>
      <w:r>
        <w:rPr>
          <w:w w:val="95"/>
          <w:sz w:val="21"/>
        </w:rPr>
        <w:t>如何分析调查中所搜集的数据，以便对与公务员职位相类的私营机构职位的薪酬水平，  </w:t>
      </w:r>
      <w:r>
        <w:rPr>
          <w:sz w:val="21"/>
        </w:rPr>
        <w:t>作合理估计；及</w:t>
      </w:r>
    </w:p>
    <w:p>
      <w:pPr>
        <w:pStyle w:val="ListParagraph"/>
        <w:numPr>
          <w:ilvl w:val="0"/>
          <w:numId w:val="8"/>
        </w:numPr>
        <w:tabs>
          <w:tab w:pos="640" w:val="left" w:leader="none"/>
        </w:tabs>
        <w:spacing w:line="278" w:lineRule="auto" w:before="0" w:after="0"/>
        <w:ind w:left="220" w:right="219" w:firstLine="0"/>
        <w:jc w:val="both"/>
        <w:rPr>
          <w:sz w:val="21"/>
        </w:rPr>
      </w:pPr>
      <w:r>
        <w:rPr>
          <w:spacing w:val="-5"/>
          <w:w w:val="95"/>
          <w:sz w:val="21"/>
        </w:rPr>
        <w:t>因应稍后制订的薪酬水平调查的具体方法，就公务员薪酬调整机制中其它组成部分</w:t>
      </w:r>
      <w:r>
        <w:rPr>
          <w:w w:val="95"/>
          <w:sz w:val="21"/>
        </w:rPr>
        <w:t>（例   如薪酬趋势调查方法</w:t>
      </w:r>
      <w:r>
        <w:rPr>
          <w:spacing w:val="-46"/>
          <w:w w:val="95"/>
          <w:sz w:val="21"/>
        </w:rPr>
        <w:t>）</w:t>
      </w:r>
      <w:r>
        <w:rPr>
          <w:spacing w:val="-5"/>
          <w:w w:val="95"/>
          <w:sz w:val="21"/>
        </w:rPr>
        <w:t>的设计提出初步建议，以确保在更完备的机制下各组成部分可以互相   </w:t>
      </w:r>
      <w:r>
        <w:rPr>
          <w:spacing w:val="-5"/>
          <w:sz w:val="21"/>
        </w:rPr>
        <w:t>协调运作。</w:t>
      </w:r>
    </w:p>
    <w:p>
      <w:pPr>
        <w:pStyle w:val="BodyText"/>
        <w:spacing w:before="4"/>
        <w:ind w:left="0"/>
        <w:rPr>
          <w:sz w:val="24"/>
        </w:rPr>
      </w:pPr>
    </w:p>
    <w:p>
      <w:pPr>
        <w:pStyle w:val="ListParagraph"/>
        <w:numPr>
          <w:ilvl w:val="1"/>
          <w:numId w:val="9"/>
        </w:numPr>
        <w:tabs>
          <w:tab w:pos="746" w:val="left" w:leader="none"/>
        </w:tabs>
        <w:spacing w:line="240" w:lineRule="auto" w:before="0" w:after="0"/>
        <w:ind w:left="745" w:right="0" w:hanging="526"/>
        <w:jc w:val="both"/>
        <w:rPr>
          <w:sz w:val="21"/>
        </w:rPr>
      </w:pPr>
      <w:r>
        <w:rPr>
          <w:sz w:val="21"/>
        </w:rPr>
        <w:t>顾问在制定调查方法时，亦需考虑以下事项：</w:t>
      </w:r>
    </w:p>
    <w:p>
      <w:pPr>
        <w:pStyle w:val="ListParagraph"/>
        <w:numPr>
          <w:ilvl w:val="0"/>
          <w:numId w:val="10"/>
        </w:numPr>
        <w:tabs>
          <w:tab w:pos="640" w:val="left" w:leader="none"/>
        </w:tabs>
        <w:spacing w:line="240" w:lineRule="auto" w:before="43" w:after="0"/>
        <w:ind w:left="640" w:right="0" w:hanging="420"/>
        <w:jc w:val="both"/>
        <w:rPr>
          <w:sz w:val="21"/>
        </w:rPr>
      </w:pPr>
      <w:r>
        <w:rPr>
          <w:sz w:val="21"/>
        </w:rPr>
        <w:t>需要全面顾及制定更完备的公务员薪酬调整机制的所有相关政策考虑。</w:t>
      </w:r>
    </w:p>
    <w:p>
      <w:pPr>
        <w:pStyle w:val="ListParagraph"/>
        <w:numPr>
          <w:ilvl w:val="0"/>
          <w:numId w:val="10"/>
        </w:numPr>
        <w:tabs>
          <w:tab w:pos="640" w:val="left" w:leader="none"/>
        </w:tabs>
        <w:spacing w:line="278" w:lineRule="auto" w:before="43" w:after="0"/>
        <w:ind w:left="220" w:right="219" w:firstLine="0"/>
        <w:jc w:val="both"/>
        <w:rPr>
          <w:sz w:val="21"/>
        </w:rPr>
      </w:pPr>
      <w:r>
        <w:rPr>
          <w:spacing w:val="-5"/>
          <w:w w:val="95"/>
          <w:sz w:val="21"/>
        </w:rPr>
        <w:t>由于公务员体系与私营机构在运作性质、聘用和薪酬安排，以及工作性质和要求各方面   </w:t>
      </w:r>
      <w:r>
        <w:rPr>
          <w:spacing w:val="-11"/>
          <w:w w:val="95"/>
          <w:sz w:val="21"/>
        </w:rPr>
        <w:t>存有差异，既定原则是公务员薪酬应与私营机构雇员薪酬保持大致相若，而非紧贴私营机构   </w:t>
      </w:r>
      <w:r>
        <w:rPr>
          <w:spacing w:val="-11"/>
          <w:sz w:val="21"/>
        </w:rPr>
        <w:t>雇员薪酬；</w:t>
      </w:r>
    </w:p>
    <w:p>
      <w:pPr>
        <w:pStyle w:val="ListParagraph"/>
        <w:numPr>
          <w:ilvl w:val="0"/>
          <w:numId w:val="10"/>
        </w:numPr>
        <w:tabs>
          <w:tab w:pos="640" w:val="left" w:leader="none"/>
        </w:tabs>
        <w:spacing w:line="278" w:lineRule="auto" w:before="0" w:after="0"/>
        <w:ind w:left="220" w:right="219" w:firstLine="0"/>
        <w:jc w:val="both"/>
        <w:rPr>
          <w:sz w:val="21"/>
        </w:rPr>
      </w:pPr>
      <w:r>
        <w:rPr>
          <w:spacing w:val="-4"/>
          <w:w w:val="95"/>
          <w:sz w:val="21"/>
        </w:rPr>
        <w:t>现有公务员职系和职级建基于资历组别的内部薪酬对比关系，这套安排有助当局在厘定  </w:t>
      </w:r>
      <w:r>
        <w:rPr>
          <w:spacing w:val="-4"/>
          <w:sz w:val="21"/>
        </w:rPr>
        <w:t>不同职系和职级的薪酬水平时维持一致性及公平性；</w:t>
      </w:r>
    </w:p>
    <w:p>
      <w:pPr>
        <w:pStyle w:val="ListParagraph"/>
        <w:numPr>
          <w:ilvl w:val="0"/>
          <w:numId w:val="10"/>
        </w:numPr>
        <w:tabs>
          <w:tab w:pos="640" w:val="left" w:leader="none"/>
        </w:tabs>
        <w:spacing w:line="278" w:lineRule="auto" w:before="0" w:after="0"/>
        <w:ind w:left="220" w:right="219" w:firstLine="0"/>
        <w:jc w:val="both"/>
        <w:rPr>
          <w:sz w:val="21"/>
        </w:rPr>
      </w:pPr>
      <w:r>
        <w:rPr>
          <w:spacing w:val="-5"/>
          <w:w w:val="95"/>
          <w:sz w:val="21"/>
        </w:rPr>
        <w:t>需研究进行薪酬水平调查的各种可行方法，包括各方法的优点和不足之处，然后建议最  </w:t>
      </w:r>
      <w:r>
        <w:rPr>
          <w:spacing w:val="-5"/>
          <w:sz w:val="21"/>
        </w:rPr>
        <w:t>可取的方法；</w:t>
      </w:r>
    </w:p>
    <w:p>
      <w:pPr>
        <w:pStyle w:val="ListParagraph"/>
        <w:numPr>
          <w:ilvl w:val="0"/>
          <w:numId w:val="10"/>
        </w:numPr>
        <w:tabs>
          <w:tab w:pos="640" w:val="left" w:leader="none"/>
        </w:tabs>
        <w:spacing w:line="278" w:lineRule="auto" w:before="0" w:after="0"/>
        <w:ind w:left="220" w:right="219" w:firstLine="0"/>
        <w:jc w:val="both"/>
        <w:rPr>
          <w:sz w:val="21"/>
        </w:rPr>
      </w:pPr>
      <w:r>
        <w:rPr>
          <w:spacing w:val="-2"/>
          <w:w w:val="95"/>
          <w:sz w:val="21"/>
        </w:rPr>
        <w:t>咨询和考虑公务员薪酬调整机制督导委员会</w:t>
      </w:r>
      <w:r>
        <w:rPr>
          <w:w w:val="95"/>
          <w:sz w:val="21"/>
        </w:rPr>
        <w:t>（督导委员会</w:t>
      </w:r>
      <w:r>
        <w:rPr>
          <w:spacing w:val="-29"/>
          <w:w w:val="95"/>
          <w:sz w:val="21"/>
        </w:rPr>
        <w:t>）</w:t>
      </w:r>
      <w:r>
        <w:rPr>
          <w:spacing w:val="-6"/>
          <w:w w:val="95"/>
          <w:sz w:val="21"/>
        </w:rPr>
        <w:t>、公务员薪酬调整机制咨询  </w:t>
      </w:r>
      <w:r>
        <w:rPr>
          <w:spacing w:val="-6"/>
          <w:sz w:val="21"/>
        </w:rPr>
        <w:t>小组（咨询小组）以及其它有关方面的意见；及</w:t>
      </w:r>
    </w:p>
    <w:p>
      <w:pPr>
        <w:pStyle w:val="ListParagraph"/>
        <w:numPr>
          <w:ilvl w:val="0"/>
          <w:numId w:val="10"/>
        </w:numPr>
        <w:tabs>
          <w:tab w:pos="640" w:val="left" w:leader="none"/>
        </w:tabs>
        <w:spacing w:line="278" w:lineRule="auto" w:before="0" w:after="0"/>
        <w:ind w:left="220" w:right="219" w:firstLine="0"/>
        <w:jc w:val="both"/>
        <w:rPr>
          <w:sz w:val="21"/>
        </w:rPr>
      </w:pPr>
      <w:r>
        <w:rPr>
          <w:spacing w:val="-6"/>
          <w:w w:val="95"/>
          <w:sz w:val="21"/>
        </w:rPr>
        <w:t>薪酬水平调查的重点是薪酬的比较，而并非收集有关福利待遇的详细数据及估量这些福  </w:t>
      </w:r>
      <w:r>
        <w:rPr>
          <w:spacing w:val="-6"/>
          <w:sz w:val="21"/>
        </w:rPr>
        <w:t>利待遇的价值。</w:t>
      </w:r>
    </w:p>
    <w:p>
      <w:pPr>
        <w:pStyle w:val="ListParagraph"/>
        <w:numPr>
          <w:ilvl w:val="1"/>
          <w:numId w:val="9"/>
        </w:numPr>
        <w:tabs>
          <w:tab w:pos="746" w:val="left" w:leader="none"/>
        </w:tabs>
        <w:spacing w:line="278" w:lineRule="auto" w:before="0" w:after="0"/>
        <w:ind w:left="220" w:right="219" w:firstLine="0"/>
        <w:jc w:val="both"/>
        <w:rPr>
          <w:sz w:val="21"/>
        </w:rPr>
      </w:pPr>
      <w:r>
        <w:rPr>
          <w:sz w:val="21"/>
        </w:rPr>
        <w:t>在拟订建议的薪酬水平调查方法的过程中，顾问与有关方面进行了多次讨论，包括成员选自三个公务员薪酬及服务条件咨询委员会的督导委员会3，由四个中央评议会职方及四</w:t>
      </w:r>
      <w:r>
        <w:rPr>
          <w:spacing w:val="-5"/>
          <w:w w:val="95"/>
          <w:sz w:val="21"/>
        </w:rPr>
        <w:t>个主要跨部门工会的代表组成的咨询小组，以及公务员事务局。经考虑及研究各有关方面的   </w:t>
      </w:r>
      <w:r>
        <w:rPr>
          <w:spacing w:val="-5"/>
          <w:sz w:val="21"/>
        </w:rPr>
        <w:t>意见后，顾问在这最后报告书作出了建议。</w:t>
      </w:r>
    </w:p>
    <w:p>
      <w:pPr>
        <w:pStyle w:val="BodyText"/>
        <w:spacing w:before="3"/>
        <w:ind w:left="0"/>
        <w:rPr>
          <w:sz w:val="24"/>
        </w:rPr>
      </w:pPr>
    </w:p>
    <w:p>
      <w:pPr>
        <w:pStyle w:val="BodyText"/>
      </w:pPr>
      <w:r>
        <w:rPr/>
        <w:t>主要涉及的范围</w:t>
      </w:r>
    </w:p>
    <w:p>
      <w:pPr>
        <w:pStyle w:val="ListParagraph"/>
        <w:numPr>
          <w:ilvl w:val="1"/>
          <w:numId w:val="9"/>
        </w:numPr>
        <w:tabs>
          <w:tab w:pos="746" w:val="left" w:leader="none"/>
        </w:tabs>
        <w:spacing w:line="240" w:lineRule="auto" w:before="43" w:after="0"/>
        <w:ind w:left="745" w:right="0" w:hanging="526"/>
        <w:jc w:val="left"/>
        <w:rPr>
          <w:sz w:val="21"/>
        </w:rPr>
      </w:pPr>
      <w:r>
        <w:rPr>
          <w:sz w:val="21"/>
        </w:rPr>
        <w:t>这项顾问研究就下述主要关涉的事项寻找妥善的处理方案：</w:t>
      </w:r>
    </w:p>
    <w:p>
      <w:pPr>
        <w:spacing w:after="0" w:line="240" w:lineRule="auto"/>
        <w:jc w:val="left"/>
        <w:rPr>
          <w:sz w:val="21"/>
        </w:rPr>
        <w:sectPr>
          <w:pgSz w:w="11910" w:h="16840"/>
          <w:pgMar w:header="852" w:footer="1829" w:top="1820" w:bottom="2100" w:left="1580" w:right="1580"/>
        </w:sectPr>
      </w:pPr>
    </w:p>
    <w:p>
      <w:pPr>
        <w:pStyle w:val="ListParagraph"/>
        <w:numPr>
          <w:ilvl w:val="0"/>
          <w:numId w:val="11"/>
        </w:numPr>
        <w:tabs>
          <w:tab w:pos="640" w:val="left" w:leader="none"/>
        </w:tabs>
        <w:spacing w:line="278" w:lineRule="auto" w:before="87" w:after="0"/>
        <w:ind w:left="220" w:right="219" w:firstLine="0"/>
        <w:jc w:val="left"/>
        <w:rPr>
          <w:sz w:val="21"/>
        </w:rPr>
      </w:pPr>
      <w:r>
        <w:rPr>
          <w:spacing w:val="-5"/>
          <w:w w:val="95"/>
          <w:sz w:val="21"/>
        </w:rPr>
        <w:t>因应公务员与私营机构两个界别本质上的差异，将公务员比较职位与大致相若的私营机  </w:t>
      </w:r>
      <w:r>
        <w:rPr>
          <w:spacing w:val="-5"/>
          <w:sz w:val="21"/>
        </w:rPr>
        <w:t>构职位作比较，确保比较以合理、公平及一致的方法进行。</w:t>
      </w:r>
    </w:p>
    <w:p>
      <w:pPr>
        <w:pStyle w:val="ListParagraph"/>
        <w:numPr>
          <w:ilvl w:val="0"/>
          <w:numId w:val="11"/>
        </w:numPr>
        <w:tabs>
          <w:tab w:pos="640" w:val="left" w:leader="none"/>
        </w:tabs>
        <w:spacing w:line="269" w:lineRule="exact" w:before="0" w:after="0"/>
        <w:ind w:left="640" w:right="0" w:hanging="420"/>
        <w:jc w:val="left"/>
        <w:rPr>
          <w:sz w:val="21"/>
        </w:rPr>
      </w:pPr>
      <w:r>
        <w:rPr>
          <w:sz w:val="21"/>
        </w:rPr>
        <w:t>订定如何选取公务员职位与私营机构大致相类的职位/岗位作出比较的准则。</w:t>
      </w:r>
    </w:p>
    <w:p>
      <w:pPr>
        <w:pStyle w:val="ListParagraph"/>
        <w:numPr>
          <w:ilvl w:val="0"/>
          <w:numId w:val="11"/>
        </w:numPr>
        <w:tabs>
          <w:tab w:pos="640" w:val="left" w:leader="none"/>
        </w:tabs>
        <w:spacing w:line="240" w:lineRule="auto" w:before="43" w:after="0"/>
        <w:ind w:left="640" w:right="0" w:hanging="420"/>
        <w:jc w:val="left"/>
        <w:rPr>
          <w:sz w:val="21"/>
        </w:rPr>
      </w:pPr>
      <w:r>
        <w:rPr>
          <w:sz w:val="21"/>
        </w:rPr>
        <w:t>订定选取纳入调查范围的私营机构的准则。</w:t>
      </w:r>
    </w:p>
    <w:p>
      <w:pPr>
        <w:pStyle w:val="ListParagraph"/>
        <w:numPr>
          <w:ilvl w:val="0"/>
          <w:numId w:val="11"/>
        </w:numPr>
        <w:tabs>
          <w:tab w:pos="640" w:val="left" w:leader="none"/>
        </w:tabs>
        <w:spacing w:line="278" w:lineRule="auto" w:before="43" w:after="0"/>
        <w:ind w:left="220" w:right="219" w:firstLine="0"/>
        <w:jc w:val="left"/>
        <w:rPr>
          <w:sz w:val="21"/>
        </w:rPr>
      </w:pPr>
      <w:r>
        <w:rPr>
          <w:spacing w:val="-6"/>
          <w:w w:val="95"/>
          <w:sz w:val="21"/>
        </w:rPr>
        <w:t>应搜集哪些数据及搜集数据的方法。方案需一方面能搜集全面的资料而同时顾及数据搜  </w:t>
      </w:r>
      <w:r>
        <w:rPr>
          <w:spacing w:val="-6"/>
          <w:sz w:val="21"/>
        </w:rPr>
        <w:t>集的效率。</w:t>
      </w:r>
    </w:p>
    <w:p>
      <w:pPr>
        <w:pStyle w:val="ListParagraph"/>
        <w:numPr>
          <w:ilvl w:val="0"/>
          <w:numId w:val="11"/>
        </w:numPr>
        <w:tabs>
          <w:tab w:pos="640" w:val="left" w:leader="none"/>
        </w:tabs>
        <w:spacing w:line="269" w:lineRule="exact" w:before="0" w:after="0"/>
        <w:ind w:left="640" w:right="0" w:hanging="420"/>
        <w:jc w:val="left"/>
        <w:rPr>
          <w:sz w:val="21"/>
        </w:rPr>
      </w:pPr>
      <w:r>
        <w:rPr>
          <w:sz w:val="21"/>
        </w:rPr>
        <w:t>分析数据的方法，以便将各机构的数据与相关的公务员薪级表作比较；及</w:t>
      </w:r>
    </w:p>
    <w:p>
      <w:pPr>
        <w:pStyle w:val="ListParagraph"/>
        <w:numPr>
          <w:ilvl w:val="0"/>
          <w:numId w:val="11"/>
        </w:numPr>
        <w:tabs>
          <w:tab w:pos="640" w:val="left" w:leader="none"/>
        </w:tabs>
        <w:spacing w:line="240" w:lineRule="auto" w:before="43" w:after="0"/>
        <w:ind w:left="640" w:right="0" w:hanging="420"/>
        <w:jc w:val="left"/>
        <w:rPr>
          <w:sz w:val="21"/>
        </w:rPr>
      </w:pPr>
      <w:r>
        <w:rPr>
          <w:sz w:val="21"/>
        </w:rPr>
        <w:t>对公务员薪酬调整机制中其它组成部分例如薪酬趋势调查的影响。</w:t>
      </w:r>
    </w:p>
    <w:p>
      <w:pPr>
        <w:pStyle w:val="BodyText"/>
        <w:spacing w:before="5"/>
        <w:ind w:left="0"/>
        <w:rPr>
          <w:sz w:val="26"/>
        </w:rPr>
      </w:pPr>
    </w:p>
    <w:p>
      <w:pPr>
        <w:pStyle w:val="Heading1"/>
        <w:numPr>
          <w:ilvl w:val="0"/>
          <w:numId w:val="5"/>
        </w:numPr>
        <w:tabs>
          <w:tab w:pos="643" w:val="left" w:leader="none"/>
        </w:tabs>
        <w:spacing w:line="194" w:lineRule="auto" w:before="0" w:after="0"/>
        <w:ind w:left="220" w:right="2200" w:firstLine="0"/>
        <w:jc w:val="left"/>
      </w:pPr>
      <w:r>
        <w:rPr/>
        <w:t>比较公务员职位和私营机构职位的方法以及选取比较职位的方法摘要：</w:t>
      </w:r>
    </w:p>
    <w:p>
      <w:pPr>
        <w:pStyle w:val="BodyText"/>
        <w:spacing w:line="278" w:lineRule="auto" w:before="15"/>
        <w:ind w:right="546"/>
        <w:jc w:val="both"/>
      </w:pPr>
      <w:r>
        <w:rPr>
          <w:w w:val="95"/>
        </w:rPr>
        <w:t>我们考虑了四种职位比较方法—职位配对法、职位属系法、工作因素比较法和资历基准   法后，建议采用广义界定的职位属系法比较公务员和私营机构雇员薪酬水平，及采用资  </w:t>
      </w:r>
      <w:r>
        <w:rPr/>
        <w:t>历基准法将两个界别的入职薪酬作一比较。</w:t>
      </w:r>
    </w:p>
    <w:p>
      <w:pPr>
        <w:pStyle w:val="BodyText"/>
        <w:spacing w:line="278" w:lineRule="auto"/>
        <w:ind w:right="546"/>
        <w:jc w:val="both"/>
      </w:pPr>
      <w:r>
        <w:rPr>
          <w:w w:val="95"/>
        </w:rPr>
        <w:t>我们建议采用广义界定的职位属系法进行薪酬水平调查，因为这方法较其它三种职位比   较方法更能达致薪酬水平调查的目的。透过这方法，我们可选取一系列能广泛代表公务   员的职位，并同时把那些在工作各方面（如工作内容、工作性质、须承担责任的轻重及   一般的资历和经验要求）大致相若的公务员职位及私营机构职位作比较。为整体的薪酬   水平调查拣选的比较职位，应符合建议的拣选准则，以确保这些比较职位在公务员中具   代表性及可以在私营机构找到合理的相类职位。我们建议调查范围不应包括若干在私营   机构没有相类职位可作比较的公务员职系和职级。这些职系和职级包括纪律部队职系，   那些在私营机构没有相类职位可作比较的非首长级文职职系，及属首长级薪级表的公务   员职级。此外，我们建议属医护界别、社会福利界别及教育界别的职系不应纳入调查范   围内作为比较职位。因为许多设有可与上述职位作合理配对的职位的私营机构现时或在   过去五年内，在厘定其员工的薪酬水平或调整薪酬时，都是以公务员薪级表或公务员的  </w:t>
      </w:r>
      <w:r>
        <w:rPr/>
        <w:t>薪酬调整作为主要的考虑因素，所以这些私营机构不会被纳入调查范围内。</w:t>
      </w:r>
    </w:p>
    <w:p>
      <w:pPr>
        <w:pStyle w:val="BodyText"/>
        <w:spacing w:line="278" w:lineRule="auto"/>
        <w:ind w:right="219"/>
        <w:jc w:val="both"/>
      </w:pPr>
      <w:r>
        <w:rPr>
          <w:spacing w:val="-5"/>
          <w:w w:val="95"/>
        </w:rPr>
        <w:t>我们建议采用资历基准法进行入职薪酬调查，作为薪酬水平调查的其中一环。在入职薪酬调   </w:t>
      </w:r>
      <w:r>
        <w:rPr>
          <w:spacing w:val="-11"/>
          <w:w w:val="95"/>
        </w:rPr>
        <w:t>查中，我们会将每个公务员资历组别的基准薪酬与那些在私营机构内有相类资历和经验要求   </w:t>
      </w:r>
      <w:r>
        <w:rPr>
          <w:spacing w:val="-15"/>
          <w:w w:val="95"/>
        </w:rPr>
        <w:t>的入职职位的薪酬作比较。为进行是项比较，这调查搜集的薪酬资料只包括有关员工在聘用   </w:t>
      </w:r>
      <w:r>
        <w:rPr>
          <w:spacing w:val="-16"/>
          <w:w w:val="95"/>
        </w:rPr>
        <w:t>首年计及试用期结束而调整后的薪酬</w:t>
      </w:r>
      <w:r>
        <w:rPr>
          <w:w w:val="95"/>
        </w:rPr>
        <w:t>（如曾予调整的话</w:t>
      </w:r>
      <w:r>
        <w:rPr>
          <w:spacing w:val="-32"/>
          <w:w w:val="95"/>
        </w:rPr>
        <w:t>）</w:t>
      </w:r>
      <w:r>
        <w:rPr>
          <w:spacing w:val="-6"/>
          <w:w w:val="95"/>
        </w:rPr>
        <w:t>。调查将只包括私营机构内的入职   </w:t>
      </w:r>
      <w:r>
        <w:rPr>
          <w:spacing w:val="-9"/>
          <w:w w:val="95"/>
        </w:rPr>
        <w:t>职位。考虑到在一九九九年进行公务员入职薪酬检讨的经验和私营机构常见的入职要求，现   </w:t>
      </w:r>
      <w:r>
        <w:rPr>
          <w:spacing w:val="-14"/>
          <w:w w:val="95"/>
        </w:rPr>
        <w:t>选取九个公务员资历组别纳入调查范围内。为确保从入职薪酬调查和整体的薪酬水平调查所   </w:t>
      </w:r>
      <w:r>
        <w:rPr>
          <w:spacing w:val="-17"/>
          <w:w w:val="95"/>
        </w:rPr>
        <w:t>得的数据按一致的基础搜集，我们建议入职薪酬调查需跟随整体薪酬水平调查所采用的搜集   </w:t>
      </w:r>
      <w:r>
        <w:rPr>
          <w:spacing w:val="-27"/>
          <w:w w:val="95"/>
        </w:rPr>
        <w:t>和分析数据的方法</w:t>
      </w:r>
      <w:r>
        <w:rPr>
          <w:w w:val="95"/>
        </w:rPr>
        <w:t>（即搜集各现金报酬项目的数据和采用机构一般薪酬安排计算方法去统整   </w:t>
      </w:r>
      <w:r>
        <w:rPr/>
        <w:t>数据作比较用途）。</w:t>
      </w:r>
    </w:p>
    <w:p>
      <w:pPr>
        <w:pStyle w:val="BodyText"/>
        <w:spacing w:before="9"/>
        <w:ind w:left="0"/>
        <w:rPr>
          <w:sz w:val="18"/>
        </w:rPr>
      </w:pPr>
    </w:p>
    <w:p>
      <w:pPr>
        <w:pStyle w:val="Heading1"/>
        <w:spacing w:line="384" w:lineRule="exact"/>
      </w:pPr>
      <w:r>
        <w:rPr/>
        <w:t>选取公务员比较职位的准则</w:t>
      </w:r>
    </w:p>
    <w:p>
      <w:pPr>
        <w:pStyle w:val="BodyText"/>
        <w:spacing w:line="278" w:lineRule="auto"/>
        <w:ind w:right="221"/>
        <w:jc w:val="both"/>
      </w:pPr>
      <w:r>
        <w:rPr/>
        <w:t>2.42</w:t>
      </w:r>
      <w:r>
        <w:rPr>
          <w:spacing w:val="-4"/>
        </w:rPr>
        <w:t> 为确保被选取的公务员比较职位能与大致相若和可作合理比较的私营机构职位配对， </w:t>
      </w:r>
      <w:r>
        <w:rPr>
          <w:spacing w:val="-10"/>
          <w:w w:val="95"/>
        </w:rPr>
        <w:t>和在公务员队伍中具合理代表性，同时亦考虑到进行一项有公信力的薪酬水平调查所涉及的   </w:t>
      </w:r>
      <w:r>
        <w:rPr>
          <w:spacing w:val="-10"/>
        </w:rPr>
        <w:t>政策和技术考虑因素，我们建议采用下列准则选取公务员比较职位 ：</w:t>
      </w:r>
    </w:p>
    <w:p>
      <w:pPr>
        <w:pStyle w:val="ListParagraph"/>
        <w:numPr>
          <w:ilvl w:val="0"/>
          <w:numId w:val="12"/>
        </w:numPr>
        <w:tabs>
          <w:tab w:pos="640" w:val="left" w:leader="none"/>
        </w:tabs>
        <w:spacing w:line="269" w:lineRule="exact" w:before="0" w:after="0"/>
        <w:ind w:left="640" w:right="0" w:hanging="420"/>
        <w:jc w:val="both"/>
        <w:rPr>
          <w:sz w:val="21"/>
        </w:rPr>
      </w:pPr>
      <w:r>
        <w:rPr>
          <w:spacing w:val="-4"/>
          <w:sz w:val="21"/>
        </w:rPr>
        <w:t>公务员比较职位应在很多间私营机构内找到可作合理配对的职位，而这些职位在工作性</w:t>
      </w:r>
    </w:p>
    <w:p>
      <w:pPr>
        <w:spacing w:after="0" w:line="269" w:lineRule="exact"/>
        <w:jc w:val="both"/>
        <w:rPr>
          <w:sz w:val="21"/>
        </w:rPr>
        <w:sectPr>
          <w:pgSz w:w="11910" w:h="16840"/>
          <w:pgMar w:header="852" w:footer="1829" w:top="1820" w:bottom="2100" w:left="1580" w:right="1580"/>
        </w:sectPr>
      </w:pPr>
    </w:p>
    <w:p>
      <w:pPr>
        <w:pStyle w:val="BodyText"/>
        <w:spacing w:before="87"/>
      </w:pPr>
      <w:r>
        <w:rPr/>
        <w:t>质，技能，资历和经验要求各方面大致相若；</w:t>
      </w:r>
    </w:p>
    <w:p>
      <w:pPr>
        <w:pStyle w:val="ListParagraph"/>
        <w:numPr>
          <w:ilvl w:val="0"/>
          <w:numId w:val="12"/>
        </w:numPr>
        <w:tabs>
          <w:tab w:pos="640" w:val="left" w:leader="none"/>
        </w:tabs>
        <w:spacing w:line="278" w:lineRule="auto" w:before="43" w:after="0"/>
        <w:ind w:left="220" w:right="228" w:firstLine="0"/>
        <w:jc w:val="left"/>
        <w:rPr>
          <w:sz w:val="21"/>
        </w:rPr>
      </w:pPr>
      <w:r>
        <w:rPr>
          <w:w w:val="95"/>
          <w:sz w:val="21"/>
        </w:rPr>
        <w:t>公务员比较职位在公务员队伍中应具代表性：每个公务员比较职系的编制不应少于100  </w:t>
      </w:r>
      <w:r>
        <w:rPr>
          <w:sz w:val="21"/>
        </w:rPr>
        <w:t>个职位。</w:t>
      </w:r>
    </w:p>
    <w:p>
      <w:pPr>
        <w:pStyle w:val="ListParagraph"/>
        <w:numPr>
          <w:ilvl w:val="0"/>
          <w:numId w:val="12"/>
        </w:numPr>
        <w:tabs>
          <w:tab w:pos="640" w:val="left" w:leader="none"/>
        </w:tabs>
        <w:spacing w:line="278" w:lineRule="auto" w:before="0" w:after="0"/>
        <w:ind w:left="220" w:right="219" w:firstLine="0"/>
        <w:jc w:val="left"/>
        <w:rPr>
          <w:sz w:val="21"/>
        </w:rPr>
      </w:pPr>
      <w:r>
        <w:rPr>
          <w:spacing w:val="-8"/>
          <w:w w:val="95"/>
          <w:sz w:val="21"/>
        </w:rPr>
        <w:t>整体来说，被选取的比较职位应能涵盖不同公务员薪级表、不同职业范畴、不同的职位  </w:t>
      </w:r>
      <w:r>
        <w:rPr>
          <w:spacing w:val="-8"/>
          <w:sz w:val="21"/>
        </w:rPr>
        <w:t>级别，及不同政府部门；</w:t>
      </w:r>
    </w:p>
    <w:p>
      <w:pPr>
        <w:pStyle w:val="ListParagraph"/>
        <w:numPr>
          <w:ilvl w:val="0"/>
          <w:numId w:val="12"/>
        </w:numPr>
        <w:tabs>
          <w:tab w:pos="640" w:val="left" w:leader="none"/>
        </w:tabs>
        <w:spacing w:line="269" w:lineRule="exact" w:before="0" w:after="0"/>
        <w:ind w:left="640" w:right="0" w:hanging="420"/>
        <w:jc w:val="left"/>
        <w:rPr>
          <w:sz w:val="21"/>
        </w:rPr>
      </w:pPr>
      <w:r>
        <w:rPr>
          <w:sz w:val="21"/>
        </w:rPr>
        <w:t>应能就各职位级别选取足够数目的比较职位，以确保调查结果的可靠性；及</w:t>
      </w:r>
    </w:p>
    <w:p>
      <w:pPr>
        <w:pStyle w:val="ListParagraph"/>
        <w:numPr>
          <w:ilvl w:val="0"/>
          <w:numId w:val="12"/>
        </w:numPr>
        <w:tabs>
          <w:tab w:pos="640" w:val="left" w:leader="none"/>
        </w:tabs>
        <w:spacing w:line="278" w:lineRule="auto" w:before="43" w:after="0"/>
        <w:ind w:left="220" w:right="337" w:firstLine="0"/>
        <w:jc w:val="left"/>
        <w:rPr>
          <w:sz w:val="21"/>
        </w:rPr>
      </w:pPr>
      <w:r>
        <w:rPr>
          <w:w w:val="95"/>
          <w:sz w:val="21"/>
        </w:rPr>
        <w:t>用作配对和搜集私营机构薪酬数据的比较职位的数目对参与调查的私营机构来说应该  </w:t>
      </w:r>
      <w:r>
        <w:rPr>
          <w:sz w:val="21"/>
        </w:rPr>
        <w:t>是合理和应付得来的，以免这些机构对于参与薪酬水平调查却步。</w:t>
      </w:r>
    </w:p>
    <w:p>
      <w:pPr>
        <w:pStyle w:val="BodyText"/>
        <w:spacing w:before="4"/>
        <w:ind w:left="0"/>
        <w:rPr>
          <w:sz w:val="24"/>
        </w:rPr>
      </w:pPr>
    </w:p>
    <w:p>
      <w:pPr>
        <w:pStyle w:val="ListParagraph"/>
        <w:numPr>
          <w:ilvl w:val="1"/>
          <w:numId w:val="13"/>
        </w:numPr>
        <w:tabs>
          <w:tab w:pos="746" w:val="left" w:leader="none"/>
        </w:tabs>
        <w:spacing w:line="278" w:lineRule="auto" w:before="0" w:after="0"/>
        <w:ind w:left="220" w:right="219" w:firstLine="0"/>
        <w:jc w:val="both"/>
        <w:rPr>
          <w:sz w:val="21"/>
        </w:rPr>
      </w:pPr>
      <w:r>
        <w:rPr>
          <w:sz w:val="21"/>
        </w:rPr>
        <w:t>我们需指出职位配对将根据职责说明书所示的工作内容、需承担责任的轻重，和工作</w:t>
      </w:r>
      <w:r>
        <w:rPr>
          <w:spacing w:val="-8"/>
          <w:w w:val="95"/>
          <w:sz w:val="21"/>
        </w:rPr>
        <w:t>性质等作职位配对，而并非根据职位名称配对职位，因为不同私营机构会采用不同的职位名   </w:t>
      </w:r>
      <w:r>
        <w:rPr>
          <w:spacing w:val="-8"/>
          <w:sz w:val="21"/>
        </w:rPr>
        <w:t>称，而私营机构和公务员队伍亦会采用不同的职位名称。</w:t>
      </w:r>
    </w:p>
    <w:p>
      <w:pPr>
        <w:pStyle w:val="BodyText"/>
        <w:spacing w:before="11"/>
        <w:ind w:left="0"/>
        <w:rPr>
          <w:sz w:val="18"/>
        </w:rPr>
      </w:pPr>
    </w:p>
    <w:p>
      <w:pPr>
        <w:pStyle w:val="Heading1"/>
        <w:spacing w:line="384" w:lineRule="exact" w:before="1"/>
      </w:pPr>
      <w:r>
        <w:rPr/>
        <w:t>调查范围</w:t>
      </w:r>
    </w:p>
    <w:p>
      <w:pPr>
        <w:pStyle w:val="ListParagraph"/>
        <w:numPr>
          <w:ilvl w:val="1"/>
          <w:numId w:val="13"/>
        </w:numPr>
        <w:tabs>
          <w:tab w:pos="746" w:val="left" w:leader="none"/>
        </w:tabs>
        <w:spacing w:line="278" w:lineRule="auto" w:before="0" w:after="0"/>
        <w:ind w:left="220" w:right="126" w:firstLine="0"/>
        <w:jc w:val="left"/>
        <w:rPr>
          <w:sz w:val="21"/>
        </w:rPr>
      </w:pPr>
      <w:r>
        <w:rPr>
          <w:sz w:val="21"/>
        </w:rPr>
        <w:t>按上文第2.42</w:t>
      </w:r>
      <w:r>
        <w:rPr>
          <w:spacing w:val="-8"/>
          <w:sz w:val="21"/>
        </w:rPr>
        <w:t> 段载述的选取公务员比较职位的建议准则，我们建议不将纪律部队职位</w:t>
      </w:r>
      <w:r>
        <w:rPr>
          <w:spacing w:val="-12"/>
          <w:sz w:val="21"/>
        </w:rPr>
        <w:t>纳入调查范围内。如其它一些公务员职位一样，在职位配对法和职位属系法下，这些职位都</w:t>
      </w:r>
      <w:r>
        <w:rPr>
          <w:spacing w:val="-15"/>
          <w:sz w:val="21"/>
        </w:rPr>
        <w:t>不能在私营机构中找到合理可作配对的职位进行职位比较。在工作因素比较法下，根据公务</w:t>
      </w:r>
      <w:r>
        <w:rPr>
          <w:spacing w:val="-15"/>
          <w:w w:val="95"/>
          <w:sz w:val="21"/>
        </w:rPr>
        <w:t>员纪律部队职级独有的“特别工作因素”（例如须面对危险、风险等）所得出的评估结果，   </w:t>
      </w:r>
      <w:r>
        <w:rPr>
          <w:spacing w:val="-17"/>
          <w:sz w:val="21"/>
        </w:rPr>
        <w:t>并不能提供一些有意义的数据，与那些并没有按“特别工作因素”作出评估的私营机构职位</w:t>
      </w:r>
      <w:r>
        <w:rPr>
          <w:spacing w:val="-14"/>
          <w:sz w:val="21"/>
        </w:rPr>
        <w:t>作薪酬比较。此外，我们建议调查范围的比较职位不应包括属医护界别、教育界别和社会福</w:t>
      </w:r>
      <w:r>
        <w:rPr>
          <w:spacing w:val="-15"/>
          <w:sz w:val="21"/>
        </w:rPr>
        <w:t>利界别的公务员职系，因为设有与上述职系合理相类职位的私营机构中大多数都是以公务员</w:t>
      </w:r>
      <w:r>
        <w:rPr>
          <w:spacing w:val="-18"/>
          <w:sz w:val="21"/>
        </w:rPr>
        <w:t>薪级表或以公务员的薪酬调整为厘定或调整薪酬的主要因素。同时，这些私营机构内的职位</w:t>
      </w:r>
      <w:r>
        <w:rPr>
          <w:spacing w:val="-16"/>
          <w:sz w:val="21"/>
        </w:rPr>
        <w:t>数目的代表性不足，其薪酬数据未能反映有关界别的薪酬水平。基于上文所述，我们建议纪</w:t>
      </w:r>
      <w:r>
        <w:rPr>
          <w:spacing w:val="-14"/>
          <w:sz w:val="21"/>
        </w:rPr>
        <w:t>律部队职级、属医护界别、教育界别和社会福利界别的职系，以及其它未能达到我们所订的</w:t>
      </w:r>
      <w:r>
        <w:rPr>
          <w:spacing w:val="-36"/>
          <w:sz w:val="21"/>
        </w:rPr>
        <w:t>拣选准则</w:t>
      </w:r>
      <w:r>
        <w:rPr>
          <w:sz w:val="21"/>
        </w:rPr>
        <w:t>（如少于100</w:t>
      </w:r>
      <w:r>
        <w:rPr>
          <w:spacing w:val="-3"/>
          <w:sz w:val="21"/>
        </w:rPr>
        <w:t> 个职位的职系</w:t>
      </w:r>
      <w:r>
        <w:rPr>
          <w:spacing w:val="-101"/>
          <w:sz w:val="21"/>
        </w:rPr>
        <w:t>）</w:t>
      </w:r>
      <w:r>
        <w:rPr>
          <w:spacing w:val="-5"/>
          <w:sz w:val="21"/>
        </w:rPr>
        <w:t>或在私营机构内找不到合理相类职位的公务员职位</w:t>
      </w:r>
      <w:r>
        <w:rPr>
          <w:sz w:val="21"/>
        </w:rPr>
        <w:t>（例如航空交通管制主任、小贩管理主任），均不应纳入调查范围内。</w:t>
      </w:r>
    </w:p>
    <w:p>
      <w:pPr>
        <w:pStyle w:val="ListParagraph"/>
        <w:numPr>
          <w:ilvl w:val="1"/>
          <w:numId w:val="13"/>
        </w:numPr>
        <w:tabs>
          <w:tab w:pos="746" w:val="left" w:leader="none"/>
        </w:tabs>
        <w:spacing w:line="278" w:lineRule="auto" w:before="0" w:after="0"/>
        <w:ind w:left="220" w:right="219" w:firstLine="0"/>
        <w:jc w:val="left"/>
        <w:rPr>
          <w:sz w:val="21"/>
        </w:rPr>
      </w:pPr>
      <w:r>
        <w:rPr>
          <w:sz w:val="21"/>
        </w:rPr>
        <w:t>我们留意到，在医护、教育，以及社会福利界别，有些私营机构并不一定参照公务员薪级表或公务员薪酬调整幅度来厘定并调整其员工的薪酬水平，有些则已在近年停止这样</w:t>
      </w:r>
      <w:r>
        <w:rPr>
          <w:spacing w:val="-10"/>
          <w:w w:val="95"/>
          <w:sz w:val="21"/>
        </w:rPr>
        <w:t>做。然而，我们建议，所有这些界别的公务员职位都不应作为比较职系纳入调查范围，理由   </w:t>
      </w:r>
      <w:r>
        <w:rPr>
          <w:spacing w:val="-10"/>
          <w:sz w:val="21"/>
        </w:rPr>
        <w:t>如下：</w:t>
      </w:r>
    </w:p>
    <w:p>
      <w:pPr>
        <w:pStyle w:val="ListParagraph"/>
        <w:numPr>
          <w:ilvl w:val="0"/>
          <w:numId w:val="14"/>
        </w:numPr>
        <w:tabs>
          <w:tab w:pos="398" w:val="left" w:leader="none"/>
        </w:tabs>
        <w:spacing w:line="278" w:lineRule="auto" w:before="0" w:after="0"/>
        <w:ind w:left="220" w:right="219" w:firstLine="0"/>
        <w:jc w:val="both"/>
        <w:rPr>
          <w:sz w:val="21"/>
        </w:rPr>
      </w:pPr>
      <w:r>
        <w:rPr>
          <w:spacing w:val="-4"/>
          <w:w w:val="95"/>
          <w:sz w:val="21"/>
        </w:rPr>
        <w:t>就这些界别而言，政府和公营机构</w:t>
      </w:r>
      <w:r>
        <w:rPr>
          <w:w w:val="95"/>
          <w:sz w:val="21"/>
        </w:rPr>
        <w:t>（</w:t>
      </w:r>
      <w:r>
        <w:rPr>
          <w:spacing w:val="-2"/>
          <w:w w:val="95"/>
          <w:sz w:val="21"/>
        </w:rPr>
        <w:t>包括医护界别中的医院管理局、福利界别中的非政府   </w:t>
      </w:r>
      <w:r>
        <w:rPr>
          <w:spacing w:val="-6"/>
          <w:w w:val="95"/>
          <w:sz w:val="21"/>
        </w:rPr>
        <w:t>组织，以及教育界别中的资助学校</w:t>
      </w:r>
      <w:r>
        <w:rPr>
          <w:spacing w:val="-22"/>
          <w:w w:val="95"/>
          <w:sz w:val="21"/>
        </w:rPr>
        <w:t>）</w:t>
      </w:r>
      <w:r>
        <w:rPr>
          <w:spacing w:val="-5"/>
          <w:w w:val="95"/>
          <w:sz w:val="21"/>
        </w:rPr>
        <w:t>是最大的雇主，所雇用员工人数远远超越其它机构。在   </w:t>
      </w:r>
      <w:r>
        <w:rPr>
          <w:spacing w:val="-12"/>
          <w:w w:val="95"/>
          <w:sz w:val="21"/>
        </w:rPr>
        <w:t>这些公营机构中，很多员工的薪酬水平即使不是直接参照公务员薪级表和薪酬调整幅度来厘   </w:t>
      </w:r>
      <w:r>
        <w:rPr>
          <w:spacing w:val="-10"/>
          <w:w w:val="95"/>
          <w:sz w:val="21"/>
        </w:rPr>
        <w:t>定，也是在很大程度上受其影响。举例来说，这些职业的薪酬市场，除了受公务员薪级表影   </w:t>
      </w:r>
      <w:r>
        <w:rPr>
          <w:spacing w:val="-9"/>
          <w:w w:val="95"/>
          <w:sz w:val="21"/>
        </w:rPr>
        <w:t>响外，也可能会受政府政策影响</w:t>
      </w:r>
      <w:r>
        <w:rPr>
          <w:w w:val="95"/>
          <w:sz w:val="21"/>
        </w:rPr>
        <w:t>（例如政府的资助政策等</w:t>
      </w:r>
      <w:r>
        <w:rPr>
          <w:spacing w:val="-25"/>
          <w:w w:val="95"/>
          <w:sz w:val="21"/>
        </w:rPr>
        <w:t>）</w:t>
      </w:r>
      <w:r>
        <w:rPr>
          <w:spacing w:val="-5"/>
          <w:w w:val="95"/>
          <w:sz w:val="21"/>
        </w:rPr>
        <w:t>。虽然这些私营机构的雇员薪酬   </w:t>
      </w:r>
      <w:r>
        <w:rPr>
          <w:spacing w:val="-7"/>
          <w:w w:val="95"/>
          <w:sz w:val="21"/>
        </w:rPr>
        <w:t>有些或已与公务员薪级表脱钩</w:t>
      </w:r>
      <w:r>
        <w:rPr>
          <w:w w:val="95"/>
          <w:sz w:val="21"/>
        </w:rPr>
        <w:t>（例如受资助的社会服务机构</w:t>
      </w:r>
      <w:r>
        <w:rPr>
          <w:spacing w:val="-24"/>
          <w:w w:val="95"/>
          <w:sz w:val="21"/>
        </w:rPr>
        <w:t>）</w:t>
      </w:r>
      <w:r>
        <w:rPr>
          <w:spacing w:val="-7"/>
          <w:w w:val="95"/>
          <w:sz w:val="21"/>
        </w:rPr>
        <w:t>，但这只是最近的事，而其实   </w:t>
      </w:r>
      <w:r>
        <w:rPr>
          <w:spacing w:val="-7"/>
          <w:sz w:val="21"/>
        </w:rPr>
        <w:t>际薪酬水平可能仍然反映公务员体系的一贯做法。</w:t>
      </w:r>
    </w:p>
    <w:p>
      <w:pPr>
        <w:pStyle w:val="ListParagraph"/>
        <w:numPr>
          <w:ilvl w:val="0"/>
          <w:numId w:val="14"/>
        </w:numPr>
        <w:tabs>
          <w:tab w:pos="398" w:val="left" w:leader="none"/>
        </w:tabs>
        <w:spacing w:line="278" w:lineRule="auto" w:before="0" w:after="0"/>
        <w:ind w:left="220" w:right="114" w:firstLine="0"/>
        <w:jc w:val="left"/>
        <w:rPr>
          <w:sz w:val="21"/>
        </w:rPr>
      </w:pPr>
      <w:r>
        <w:rPr>
          <w:spacing w:val="-1"/>
          <w:sz w:val="21"/>
        </w:rPr>
        <w:t>那些并不参考公务员薪级表和薪酬调整幅度的机构</w:t>
      </w:r>
      <w:r>
        <w:rPr>
          <w:sz w:val="21"/>
        </w:rPr>
        <w:t>（</w:t>
      </w:r>
      <w:r>
        <w:rPr>
          <w:spacing w:val="-3"/>
          <w:sz w:val="21"/>
        </w:rPr>
        <w:t>例如私立学校、私家诊所和医院</w:t>
      </w:r>
      <w:r>
        <w:rPr>
          <w:sz w:val="21"/>
        </w:rPr>
        <w:t>）</w:t>
      </w:r>
      <w:r>
        <w:rPr>
          <w:spacing w:val="-20"/>
          <w:sz w:val="21"/>
        </w:rPr>
        <w:t> ， </w:t>
      </w:r>
      <w:r>
        <w:rPr>
          <w:spacing w:val="-16"/>
          <w:sz w:val="21"/>
        </w:rPr>
        <w:t>在有关界别中只占少数， 所雇用员工人数也相对较少。因此，这些机构的薪酬数据不足以</w:t>
      </w:r>
      <w:r>
        <w:rPr>
          <w:spacing w:val="-18"/>
          <w:sz w:val="21"/>
        </w:rPr>
        <w:t>代表有关界别的一般薪酬安排。此外，在这些机构当中，能符合“参与调查机构应通常雇用100</w:t>
      </w:r>
      <w:r>
        <w:rPr>
          <w:spacing w:val="-1"/>
          <w:sz w:val="21"/>
        </w:rPr>
        <w:t> 名或以上员工”这项选取准则的，也为数不多。</w:t>
      </w:r>
    </w:p>
    <w:p>
      <w:pPr>
        <w:spacing w:after="0" w:line="278" w:lineRule="auto"/>
        <w:jc w:val="left"/>
        <w:rPr>
          <w:sz w:val="21"/>
        </w:rPr>
        <w:sectPr>
          <w:pgSz w:w="11910" w:h="16840"/>
          <w:pgMar w:header="852" w:footer="1829" w:top="1820" w:bottom="2100" w:left="1580" w:right="1580"/>
        </w:sectPr>
      </w:pPr>
    </w:p>
    <w:p>
      <w:pPr>
        <w:pStyle w:val="ListParagraph"/>
        <w:numPr>
          <w:ilvl w:val="0"/>
          <w:numId w:val="14"/>
        </w:numPr>
        <w:tabs>
          <w:tab w:pos="398" w:val="left" w:leader="none"/>
        </w:tabs>
        <w:spacing w:line="278" w:lineRule="auto" w:before="87" w:after="0"/>
        <w:ind w:left="220" w:right="219" w:firstLine="0"/>
        <w:jc w:val="both"/>
        <w:rPr>
          <w:sz w:val="21"/>
        </w:rPr>
      </w:pPr>
      <w:r>
        <w:rPr>
          <w:spacing w:val="-4"/>
          <w:w w:val="95"/>
          <w:sz w:val="21"/>
        </w:rPr>
        <w:t>就这些界别内某些机构而言，薪酬是参考香港以外地方的情况而厘定的</w:t>
      </w:r>
      <w:r>
        <w:rPr>
          <w:w w:val="95"/>
          <w:sz w:val="21"/>
        </w:rPr>
        <w:t>（例如国际学校教   </w:t>
      </w:r>
      <w:r>
        <w:rPr>
          <w:sz w:val="21"/>
        </w:rPr>
        <w:t>师的薪酬）。</w:t>
      </w:r>
    </w:p>
    <w:p>
      <w:pPr>
        <w:pStyle w:val="ListParagraph"/>
        <w:numPr>
          <w:ilvl w:val="1"/>
          <w:numId w:val="13"/>
        </w:numPr>
        <w:tabs>
          <w:tab w:pos="746" w:val="left" w:leader="none"/>
        </w:tabs>
        <w:spacing w:line="278" w:lineRule="auto" w:before="0" w:after="0"/>
        <w:ind w:left="220" w:right="219" w:firstLine="0"/>
        <w:jc w:val="both"/>
        <w:rPr>
          <w:sz w:val="21"/>
        </w:rPr>
      </w:pPr>
      <w:r>
        <w:rPr>
          <w:sz w:val="21"/>
        </w:rPr>
        <w:t>我们亦建议不应将属于首长级薪级表的公务员职级纳入是次薪酬水平调查的调查范围</w:t>
      </w:r>
      <w:r>
        <w:rPr>
          <w:spacing w:val="-9"/>
          <w:w w:val="95"/>
          <w:sz w:val="21"/>
        </w:rPr>
        <w:t>内。由于私营机构职位中很少可与公务员的首长级职位，尤其是高级的首长级职位配对的职   </w:t>
      </w:r>
      <w:r>
        <w:rPr>
          <w:spacing w:val="-10"/>
          <w:w w:val="95"/>
          <w:sz w:val="21"/>
        </w:rPr>
        <w:t>位，我们几乎可以肯定，如要为首长级职位进行职位比较，必需采用另一职位比较方法</w:t>
      </w:r>
      <w:r>
        <w:rPr>
          <w:w w:val="95"/>
          <w:sz w:val="21"/>
        </w:rPr>
        <w:t>（即   </w:t>
      </w:r>
      <w:r>
        <w:rPr>
          <w:spacing w:val="-4"/>
          <w:w w:val="95"/>
          <w:sz w:val="21"/>
        </w:rPr>
        <w:t>“工作因素比较法”</w:t>
      </w:r>
      <w:r>
        <w:rPr>
          <w:spacing w:val="-31"/>
          <w:w w:val="95"/>
          <w:sz w:val="21"/>
        </w:rPr>
        <w:t>）</w:t>
      </w:r>
      <w:r>
        <w:rPr>
          <w:spacing w:val="-6"/>
          <w:w w:val="95"/>
          <w:sz w:val="21"/>
        </w:rPr>
        <w:t>。与公务员首长级职位及非首长级职位配对的私营机构职位薪酬数据   </w:t>
      </w:r>
      <w:r>
        <w:rPr>
          <w:spacing w:val="-10"/>
          <w:w w:val="95"/>
          <w:sz w:val="21"/>
        </w:rPr>
        <w:t>将会分别采用不同的调查方法所得，而不同的调查方法是建基于不同的理念和假设，就两个   </w:t>
      </w:r>
      <w:r>
        <w:rPr>
          <w:spacing w:val="-14"/>
          <w:w w:val="95"/>
          <w:sz w:val="21"/>
        </w:rPr>
        <w:t>级别职位所得的数据因而不能整合成一套数据，反映整体私营机构薪酬水平。此外，由于私   </w:t>
      </w:r>
      <w:r>
        <w:rPr>
          <w:spacing w:val="-18"/>
          <w:w w:val="95"/>
          <w:sz w:val="21"/>
        </w:rPr>
        <w:t>营机构可能在资料保密方面有所顾虑，把高层职位纳入调查范围内会令数据收集程序变得很   </w:t>
      </w:r>
      <w:r>
        <w:rPr>
          <w:spacing w:val="-12"/>
          <w:w w:val="95"/>
          <w:sz w:val="21"/>
        </w:rPr>
        <w:t>复杂。再者，私营机构可能因为这方面的顾虑而完全不参与调查。这样的话，将会产生一个   </w:t>
      </w:r>
      <w:r>
        <w:rPr>
          <w:spacing w:val="-12"/>
          <w:sz w:val="21"/>
        </w:rPr>
        <w:t>疑问，就是从少量职位搜集得来的数据是否有足够的代表性。</w:t>
      </w:r>
    </w:p>
    <w:p>
      <w:pPr>
        <w:pStyle w:val="ListParagraph"/>
        <w:numPr>
          <w:ilvl w:val="1"/>
          <w:numId w:val="13"/>
        </w:numPr>
        <w:tabs>
          <w:tab w:pos="746" w:val="left" w:leader="none"/>
        </w:tabs>
        <w:spacing w:line="278" w:lineRule="auto" w:before="0" w:after="0"/>
        <w:ind w:left="220" w:right="219" w:firstLine="0"/>
        <w:jc w:val="both"/>
        <w:rPr>
          <w:sz w:val="21"/>
        </w:rPr>
      </w:pPr>
      <w:r>
        <w:rPr>
          <w:sz w:val="21"/>
        </w:rPr>
        <w:t>我们曾考虑将一部分可在私营机构内找到在合理程度上相类的职位的首长级职位纳入</w:t>
      </w:r>
      <w:r>
        <w:rPr>
          <w:spacing w:val="-6"/>
          <w:sz w:val="21"/>
        </w:rPr>
        <w:t>调查范围内</w:t>
      </w:r>
      <w:r>
        <w:rPr>
          <w:sz w:val="21"/>
        </w:rPr>
        <w:t>（例如与工务有关的专业职位中属首长级薪级表第1</w:t>
      </w:r>
      <w:r>
        <w:rPr>
          <w:spacing w:val="-5"/>
          <w:sz w:val="21"/>
        </w:rPr>
        <w:t> 点的职位</w:t>
      </w:r>
      <w:r>
        <w:rPr>
          <w:spacing w:val="-32"/>
          <w:sz w:val="21"/>
        </w:rPr>
        <w:t>）</w:t>
      </w:r>
      <w:r>
        <w:rPr>
          <w:spacing w:val="-6"/>
          <w:sz w:val="21"/>
        </w:rPr>
        <w:t>。我们并不建议</w:t>
      </w:r>
      <w:r>
        <w:rPr>
          <w:spacing w:val="-9"/>
          <w:sz w:val="21"/>
        </w:rPr>
        <w:t>采用这方法。如只将某些职位属系内属首长级薪级表第</w:t>
      </w:r>
      <w:r>
        <w:rPr>
          <w:sz w:val="21"/>
        </w:rPr>
        <w:t>1</w:t>
      </w:r>
      <w:r>
        <w:rPr>
          <w:spacing w:val="-9"/>
          <w:sz w:val="21"/>
        </w:rPr>
        <w:t> 点的职位纳入调查范围内，会产生</w:t>
      </w:r>
      <w:r>
        <w:rPr>
          <w:spacing w:val="-11"/>
          <w:w w:val="95"/>
          <w:sz w:val="21"/>
        </w:rPr>
        <w:t>一个疑问，就是私营机构比较职位的数据有多大代表性。而更重要的，就是属首长级薪级表   </w:t>
      </w:r>
      <w:r>
        <w:rPr>
          <w:spacing w:val="-11"/>
          <w:sz w:val="21"/>
        </w:rPr>
        <w:t>第1</w:t>
      </w:r>
      <w:r>
        <w:rPr>
          <w:spacing w:val="-8"/>
          <w:sz w:val="21"/>
        </w:rPr>
        <w:t> 点的职位中仍有一些工作内容</w:t>
      </w:r>
      <w:r>
        <w:rPr>
          <w:sz w:val="21"/>
        </w:rPr>
        <w:t>（例如这些职位在政策制定方面的职责</w:t>
      </w:r>
      <w:r>
        <w:rPr>
          <w:spacing w:val="-46"/>
          <w:sz w:val="21"/>
        </w:rPr>
        <w:t>）</w:t>
      </w:r>
      <w:r>
        <w:rPr>
          <w:sz w:val="21"/>
        </w:rPr>
        <w:t>并不能与私营机构职位作直接比较。</w:t>
      </w:r>
    </w:p>
    <w:p>
      <w:pPr>
        <w:pStyle w:val="ListParagraph"/>
        <w:numPr>
          <w:ilvl w:val="1"/>
          <w:numId w:val="13"/>
        </w:numPr>
        <w:tabs>
          <w:tab w:pos="746" w:val="left" w:leader="none"/>
        </w:tabs>
        <w:spacing w:line="278" w:lineRule="auto" w:before="0" w:after="0"/>
        <w:ind w:left="220" w:right="219" w:firstLine="0"/>
        <w:jc w:val="both"/>
        <w:rPr>
          <w:sz w:val="21"/>
        </w:rPr>
      </w:pPr>
      <w:r>
        <w:rPr>
          <w:sz w:val="21"/>
        </w:rPr>
        <w:t>由于把首长级职位纳入调查范围内可能引致的技术因难，我们建议不将首长级职位纳</w:t>
      </w:r>
      <w:r>
        <w:rPr>
          <w:spacing w:val="-9"/>
          <w:w w:val="95"/>
          <w:sz w:val="21"/>
        </w:rPr>
        <w:t>入调查范围内。但调查结果会按现行的内部薪酬对比关系应用于首长级职位。当局可考虑于   </w:t>
      </w:r>
      <w:r>
        <w:rPr>
          <w:spacing w:val="-8"/>
          <w:sz w:val="21"/>
        </w:rPr>
        <w:t>完成是次调查后， 另外为首长级职位进行薪酬检讨。</w:t>
      </w:r>
    </w:p>
    <w:p>
      <w:pPr>
        <w:pStyle w:val="BodyText"/>
        <w:spacing w:before="10"/>
        <w:ind w:left="0"/>
        <w:rPr>
          <w:sz w:val="18"/>
        </w:rPr>
      </w:pPr>
    </w:p>
    <w:p>
      <w:pPr>
        <w:pStyle w:val="Heading1"/>
        <w:spacing w:line="384" w:lineRule="exact"/>
      </w:pPr>
      <w:r>
        <w:rPr/>
        <w:t>公务员职位的代表性</w:t>
      </w:r>
    </w:p>
    <w:p>
      <w:pPr>
        <w:pStyle w:val="ListParagraph"/>
        <w:numPr>
          <w:ilvl w:val="1"/>
          <w:numId w:val="13"/>
        </w:numPr>
        <w:tabs>
          <w:tab w:pos="746" w:val="left" w:leader="none"/>
        </w:tabs>
        <w:spacing w:line="278" w:lineRule="auto" w:before="0" w:after="0"/>
        <w:ind w:left="220" w:right="219" w:firstLine="0"/>
        <w:jc w:val="left"/>
        <w:rPr>
          <w:sz w:val="21"/>
        </w:rPr>
      </w:pPr>
      <w:r>
        <w:rPr>
          <w:sz w:val="21"/>
        </w:rPr>
        <w:t>要进行一项有效的薪酬水平调查必需符合的其中一个要求，就是调查范围需涵盖那些</w:t>
      </w:r>
      <w:r>
        <w:rPr>
          <w:spacing w:val="-6"/>
          <w:w w:val="95"/>
          <w:sz w:val="21"/>
        </w:rPr>
        <w:t>在公务员队伍中具代表性的职位。而这些比较职位整体来说应能涵盖不同公务员薪级表、不</w:t>
      </w:r>
    </w:p>
    <w:p>
      <w:pPr>
        <w:pStyle w:val="BodyText"/>
        <w:spacing w:line="314" w:lineRule="exact"/>
      </w:pPr>
      <w:r>
        <w:rPr/>
        <w:t>同职业范畴、不同的职位级别， 及不同政府部门（见上文第2.42 段），附件</w:t>
      </w:r>
      <w:r>
        <w:rPr>
          <w:rFonts w:ascii="Microsoft JhengHei" w:eastAsia="Microsoft JhengHei" w:hint="eastAsia"/>
          <w:b/>
        </w:rPr>
        <w:t>C </w:t>
      </w:r>
      <w:r>
        <w:rPr/>
        <w:t>所列出的建</w:t>
      </w:r>
    </w:p>
    <w:p>
      <w:pPr>
        <w:pStyle w:val="BodyText"/>
        <w:spacing w:line="278" w:lineRule="auto"/>
        <w:ind w:right="114"/>
      </w:pPr>
      <w:r>
        <w:rPr>
          <w:spacing w:val="-4"/>
        </w:rPr>
        <w:t>议公务员比较职位约代表整个公务员编制百分之四十四的职位。若撇除那些没有明显可配对</w:t>
      </w:r>
      <w:r>
        <w:rPr>
          <w:spacing w:val="-6"/>
        </w:rPr>
        <w:t>的私营机构职位的公务员职位</w:t>
      </w:r>
      <w:r>
        <w:rPr/>
        <w:t>（例如纪律部队和属首长级薪级表的公务员职级</w:t>
      </w:r>
      <w:r>
        <w:rPr>
          <w:spacing w:val="-31"/>
        </w:rPr>
        <w:t>）</w:t>
      </w:r>
      <w:r>
        <w:rPr>
          <w:spacing w:val="-8"/>
        </w:rPr>
        <w:t>，以及某些虽有私营机构配对职位但有关私营机构职位的薪酬乃参照公务员薪级表而厘定的公务员职 位（</w:t>
      </w:r>
      <w:r>
        <w:rPr>
          <w:spacing w:val="-3"/>
        </w:rPr>
        <w:t> 如属医护界别、教育界别、社会福利界别的公务员职级</w:t>
      </w:r>
      <w:r>
        <w:rPr/>
        <w:t>），所选取的公务员比较职位</w:t>
      </w:r>
      <w:r>
        <w:rPr>
          <w:spacing w:val="-5"/>
        </w:rPr>
        <w:t>已能代表余下公务员编制百分之七十三的职位。余下未纳入调查范围的公务员职位在私营机</w:t>
      </w:r>
      <w:r>
        <w:rPr>
          <w:spacing w:val="-17"/>
          <w:w w:val="95"/>
        </w:rPr>
        <w:t>构没有配对职位，或属编制较小的职系和职级，这些职系因此未能符合有关编制数目的准则，   </w:t>
      </w:r>
      <w:r>
        <w:rPr>
          <w:spacing w:val="-17"/>
        </w:rPr>
        <w:t>这项准则是为确保比较职位在公务员队伍中具代表性而订定的。</w:t>
      </w:r>
    </w:p>
    <w:p>
      <w:pPr>
        <w:pStyle w:val="ListParagraph"/>
        <w:numPr>
          <w:ilvl w:val="1"/>
          <w:numId w:val="13"/>
        </w:numPr>
        <w:tabs>
          <w:tab w:pos="746" w:val="left" w:leader="none"/>
        </w:tabs>
        <w:spacing w:line="278" w:lineRule="auto" w:before="0" w:after="0"/>
        <w:ind w:left="220" w:right="219" w:firstLine="0"/>
        <w:jc w:val="left"/>
        <w:rPr>
          <w:sz w:val="21"/>
        </w:rPr>
      </w:pPr>
      <w:r>
        <w:rPr>
          <w:sz w:val="21"/>
        </w:rPr>
        <w:t>在选取公务员比较职位时，我们考虑到在私营机构中是否有足够职位可作合理比较。</w:t>
      </w:r>
      <w:r>
        <w:rPr>
          <w:spacing w:val="-5"/>
          <w:w w:val="95"/>
          <w:sz w:val="21"/>
        </w:rPr>
        <w:t>我们亦考虑到就纳入调查范围的这些私营机构职位，能否找到足够数量足以代表这些职位的</w:t>
      </w:r>
    </w:p>
    <w:p>
      <w:pPr>
        <w:pStyle w:val="BodyText"/>
        <w:spacing w:line="314" w:lineRule="exact"/>
      </w:pPr>
      <w:r>
        <w:rPr/>
        <w:t>薪酬安排的职位。因此，附件</w:t>
      </w:r>
      <w:r>
        <w:rPr>
          <w:rFonts w:ascii="Microsoft JhengHei" w:eastAsia="Microsoft JhengHei" w:hint="eastAsia"/>
          <w:b/>
        </w:rPr>
        <w:t>C </w:t>
      </w:r>
      <w:r>
        <w:rPr/>
        <w:t>所示的公务员比较职位和对应的私营机构职位的初步列表应</w:t>
      </w:r>
    </w:p>
    <w:p>
      <w:pPr>
        <w:pStyle w:val="BodyText"/>
        <w:spacing w:line="267" w:lineRule="exact"/>
      </w:pPr>
      <w:r>
        <w:rPr/>
        <w:t>可提供一个合理的架构作配对职位之用。</w:t>
      </w:r>
    </w:p>
    <w:p>
      <w:pPr>
        <w:pStyle w:val="BodyText"/>
        <w:spacing w:before="12"/>
        <w:ind w:left="0"/>
        <w:rPr>
          <w:sz w:val="25"/>
        </w:rPr>
      </w:pPr>
    </w:p>
    <w:p>
      <w:pPr>
        <w:pStyle w:val="Heading1"/>
        <w:numPr>
          <w:ilvl w:val="0"/>
          <w:numId w:val="5"/>
        </w:numPr>
        <w:tabs>
          <w:tab w:pos="748" w:val="left" w:leader="none"/>
        </w:tabs>
        <w:spacing w:line="194" w:lineRule="auto" w:before="0" w:after="0"/>
        <w:ind w:left="220" w:right="4412" w:firstLine="0"/>
        <w:jc w:val="left"/>
      </w:pPr>
      <w:r>
        <w:rPr>
          <w:spacing w:val="-1"/>
        </w:rPr>
        <w:t>将比较职位按职位属系及职位级别分类</w:t>
      </w:r>
      <w:r>
        <w:rPr/>
        <w:t>摘要</w:t>
      </w:r>
    </w:p>
    <w:p>
      <w:pPr>
        <w:pStyle w:val="BodyText"/>
        <w:spacing w:line="278" w:lineRule="auto" w:before="15"/>
        <w:ind w:right="114"/>
      </w:pPr>
      <w:r>
        <w:rPr>
          <w:spacing w:val="-4"/>
        </w:rPr>
        <w:t>我们建议公务员比较职位应被归纳入五个职位属系和五个职位级别内，以便将公务员职位和</w:t>
      </w:r>
      <w:r>
        <w:rPr>
          <w:spacing w:val="-10"/>
          <w:w w:val="95"/>
        </w:rPr>
        <w:t>那些在工作内容和性质方面大致相若</w:t>
      </w:r>
      <w:r>
        <w:rPr>
          <w:w w:val="95"/>
        </w:rPr>
        <w:t>（按此归纳入同一个职位属系</w:t>
      </w:r>
      <w:r>
        <w:rPr>
          <w:spacing w:val="-99"/>
          <w:w w:val="95"/>
        </w:rPr>
        <w:t>）</w:t>
      </w:r>
      <w:r>
        <w:rPr>
          <w:w w:val="95"/>
        </w:rPr>
        <w:t>及在需承担责任的轻重、</w:t>
      </w:r>
    </w:p>
    <w:p>
      <w:pPr>
        <w:spacing w:after="0" w:line="278" w:lineRule="auto"/>
        <w:sectPr>
          <w:pgSz w:w="11910" w:h="16840"/>
          <w:pgMar w:header="852" w:footer="1829" w:top="1820" w:bottom="2100" w:left="1580" w:right="1580"/>
        </w:sectPr>
      </w:pPr>
    </w:p>
    <w:p>
      <w:pPr>
        <w:pStyle w:val="BodyText"/>
        <w:spacing w:line="278" w:lineRule="auto" w:before="87"/>
        <w:ind w:right="114"/>
      </w:pPr>
      <w:r>
        <w:rPr>
          <w:spacing w:val="-3"/>
        </w:rPr>
        <w:t>一般的资历和经验要求方面大致相若</w:t>
      </w:r>
      <w:r>
        <w:rPr/>
        <w:t>（按此归纳入同一个职位级别</w:t>
      </w:r>
      <w:r>
        <w:rPr>
          <w:spacing w:val="-46"/>
        </w:rPr>
        <w:t>）</w:t>
      </w:r>
      <w:r>
        <w:rPr/>
        <w:t>的私营机构职位作薪酬</w:t>
      </w:r>
      <w:r>
        <w:rPr>
          <w:spacing w:val="-8"/>
        </w:rPr>
        <w:t>比较。这些职位属系为文书及秘书属系、内部支持属系、公共服务属系、工务属系和操作支</w:t>
      </w:r>
      <w:r>
        <w:rPr>
          <w:spacing w:val="-14"/>
          <w:w w:val="95"/>
        </w:rPr>
        <w:t>持属系，而五个职位级别按公务员薪级表上的对应薪点范围划分，包括操作人员、技术人员、   </w:t>
      </w:r>
      <w:r>
        <w:rPr>
          <w:spacing w:val="-17"/>
        </w:rPr>
        <w:t>助理行政人员和助理专业人员、中层行政人员和专业人员、经理和高级专业人员及高级经理和最高层专业人员。</w:t>
      </w:r>
    </w:p>
    <w:p>
      <w:pPr>
        <w:pStyle w:val="BodyText"/>
        <w:spacing w:line="278" w:lineRule="auto"/>
        <w:ind w:right="219"/>
        <w:jc w:val="both"/>
      </w:pPr>
      <w:r>
        <w:rPr>
          <w:spacing w:val="-3"/>
          <w:w w:val="95"/>
        </w:rPr>
        <w:t>经进行建议的职位检视程序去确定建议的公务员比较职位的工作性质和特性等详情后，我们   </w:t>
      </w:r>
      <w:r>
        <w:rPr>
          <w:spacing w:val="-7"/>
          <w:w w:val="95"/>
        </w:rPr>
        <w:t>建议为每个建议的私营机构比较职位制备职责说明书，作为找出私营机构比较职位作配对和   </w:t>
      </w:r>
      <w:r>
        <w:rPr>
          <w:spacing w:val="-7"/>
        </w:rPr>
        <w:t>在进行调查阶段中搜集数据的基础。这些私营机构的薪酬数据将以职</w:t>
      </w:r>
    </w:p>
    <w:p>
      <w:pPr>
        <w:pStyle w:val="BodyText"/>
        <w:spacing w:line="269" w:lineRule="exact"/>
      </w:pPr>
      <w:r>
        <w:rPr/>
        <w:t>位级别和职位属系整合，得出私营机构薪酬水平指标。</w:t>
      </w:r>
    </w:p>
    <w:p>
      <w:pPr>
        <w:pStyle w:val="BodyText"/>
        <w:ind w:left="0"/>
        <w:rPr>
          <w:sz w:val="23"/>
        </w:rPr>
      </w:pPr>
      <w:r>
        <w:rPr/>
        <w:pict>
          <v:shape style="position:absolute;margin-left:84.599998pt;margin-top:16.978138pt;width:426.1pt;height:281.3pt;mso-position-horizontal-relative:page;mso-position-vertical-relative:paragraph;z-index:-251627520;mso-wrap-distance-left:0;mso-wrap-distance-right:0" type="#_x0000_t202" filled="false" stroked="true" strokeweight=".48pt" strokecolor="#000000">
            <v:textbox inset="0,0,0,0">
              <w:txbxContent>
                <w:p>
                  <w:pPr>
                    <w:spacing w:line="329" w:lineRule="exact" w:before="0"/>
                    <w:ind w:left="103" w:right="0" w:firstLine="0"/>
                    <w:jc w:val="left"/>
                    <w:rPr>
                      <w:rFonts w:ascii="Microsoft JhengHei" w:eastAsia="Microsoft JhengHei" w:hint="eastAsia"/>
                      <w:b/>
                      <w:sz w:val="21"/>
                    </w:rPr>
                  </w:pPr>
                  <w:r>
                    <w:rPr>
                      <w:rFonts w:ascii="Microsoft JhengHei" w:eastAsia="Microsoft JhengHei" w:hint="eastAsia"/>
                      <w:b/>
                      <w:sz w:val="21"/>
                    </w:rPr>
                    <w:t>建议的职位属系的界定</w:t>
                  </w:r>
                </w:p>
                <w:p>
                  <w:pPr>
                    <w:pStyle w:val="BodyText"/>
                    <w:spacing w:line="286" w:lineRule="exact"/>
                    <w:ind w:left="103"/>
                  </w:pPr>
                  <w:r>
                    <w:rPr/>
                    <w:t>职位属系1</w:t>
                  </w:r>
                  <w:r>
                    <w:rPr>
                      <w:rFonts w:ascii="方正姚体" w:eastAsia="方正姚体" w:hint="eastAsia"/>
                    </w:rPr>
                    <w:t>︰</w:t>
                  </w:r>
                  <w:r>
                    <w:rPr/>
                    <w:t>文书及秘书属系</w:t>
                  </w:r>
                </w:p>
                <w:p>
                  <w:pPr>
                    <w:pStyle w:val="BodyText"/>
                    <w:spacing w:line="264" w:lineRule="auto" w:before="31"/>
                    <w:ind w:left="103" w:right="9"/>
                  </w:pPr>
                  <w:r>
                    <w:rPr>
                      <w:w w:val="95"/>
                    </w:rPr>
                    <w:t>这属系包括执行文书工作的人员（例如文书主任、文书助理）及执行秘书职务的私人秘书。   </w:t>
                  </w:r>
                  <w:r>
                    <w:rPr/>
                    <w:t>职位属系2</w:t>
                  </w:r>
                  <w:r>
                    <w:rPr>
                      <w:rFonts w:ascii="方正姚体" w:eastAsia="方正姚体" w:hint="eastAsia"/>
                    </w:rPr>
                    <w:t>︰</w:t>
                  </w:r>
                  <w:r>
                    <w:rPr/>
                    <w:t>内部支持属系</w:t>
                  </w:r>
                </w:p>
                <w:p>
                  <w:pPr>
                    <w:pStyle w:val="BodyText"/>
                    <w:spacing w:line="278" w:lineRule="auto" w:before="2"/>
                    <w:ind w:left="103" w:right="9"/>
                  </w:pPr>
                  <w:r>
                    <w:rPr>
                      <w:w w:val="95"/>
                    </w:rPr>
                    <w:t>这属系内的职位，负责提供与机构的办公室运作、行政或其它与内部支持有关的支援服务，   </w:t>
                  </w:r>
                  <w:r>
                    <w:rPr/>
                    <w:t>例如政府律师、新闻主任、行政主任、系统分析/程序编制主任和会计主任。</w:t>
                  </w:r>
                </w:p>
                <w:p>
                  <w:pPr>
                    <w:pStyle w:val="BodyText"/>
                    <w:spacing w:line="281" w:lineRule="exact"/>
                    <w:ind w:left="103"/>
                  </w:pPr>
                  <w:r>
                    <w:rPr/>
                    <w:t>职位属系3</w:t>
                  </w:r>
                  <w:r>
                    <w:rPr>
                      <w:rFonts w:ascii="方正姚体" w:eastAsia="方正姚体" w:hint="eastAsia"/>
                    </w:rPr>
                    <w:t>︰</w:t>
                  </w:r>
                  <w:r>
                    <w:rPr/>
                    <w:t>公共服务属系</w:t>
                  </w:r>
                </w:p>
                <w:p>
                  <w:pPr>
                    <w:pStyle w:val="BodyText"/>
                    <w:spacing w:line="278" w:lineRule="auto" w:before="31"/>
                    <w:ind w:left="103" w:right="103"/>
                  </w:pPr>
                  <w:r>
                    <w:rPr>
                      <w:spacing w:val="-8"/>
                      <w:w w:val="95"/>
                    </w:rPr>
                    <w:t>这职位属系的职位，专责直接向市民大众提供服务或有其它专门职能，或执行有关工作时需   </w:t>
                  </w:r>
                  <w:r>
                    <w:rPr>
                      <w:spacing w:val="-8"/>
                    </w:rPr>
                    <w:t>与公众接触，例如文化工作经理和康乐事务经理。</w:t>
                  </w:r>
                </w:p>
                <w:p>
                  <w:pPr>
                    <w:pStyle w:val="BodyText"/>
                    <w:spacing w:line="281" w:lineRule="exact"/>
                    <w:ind w:left="103"/>
                  </w:pPr>
                  <w:r>
                    <w:rPr/>
                    <w:t>职位属系4</w:t>
                  </w:r>
                  <w:r>
                    <w:rPr>
                      <w:rFonts w:ascii="方正姚体" w:eastAsia="方正姚体" w:hint="eastAsia"/>
                    </w:rPr>
                    <w:t>︰</w:t>
                  </w:r>
                  <w:r>
                    <w:rPr/>
                    <w:t>工务属系</w:t>
                  </w:r>
                </w:p>
                <w:p>
                  <w:pPr>
                    <w:pStyle w:val="BodyText"/>
                    <w:spacing w:line="278" w:lineRule="auto" w:before="31"/>
                    <w:ind w:left="103" w:right="-15"/>
                  </w:pPr>
                  <w:r>
                    <w:rPr>
                      <w:spacing w:val="-4"/>
                    </w:rPr>
                    <w:t>这属系的职位负责与政府或公共设施及基建计划的规划、设计、建筑、质量及安全监管，以</w:t>
                  </w:r>
                  <w:r>
                    <w:rPr>
                      <w:spacing w:val="-7"/>
                      <w:w w:val="99"/>
                    </w:rPr>
                    <w:t>及维修保养有关的专业服务</w:t>
                  </w:r>
                  <w:r>
                    <w:rPr>
                      <w:spacing w:val="-1"/>
                      <w:w w:val="99"/>
                    </w:rPr>
                    <w:t>（</w:t>
                  </w:r>
                  <w:r>
                    <w:rPr>
                      <w:spacing w:val="-11"/>
                      <w:w w:val="99"/>
                    </w:rPr>
                    <w:t>例如工程师、建筑师</w:t>
                  </w:r>
                  <w:r>
                    <w:rPr>
                      <w:spacing w:val="-77"/>
                      <w:w w:val="99"/>
                    </w:rPr>
                    <w:t>）</w:t>
                  </w:r>
                  <w:r>
                    <w:rPr>
                      <w:spacing w:val="-9"/>
                      <w:w w:val="99"/>
                    </w:rPr>
                    <w:t>或技术支持及检查服务</w:t>
                  </w:r>
                  <w:r>
                    <w:rPr>
                      <w:spacing w:val="-1"/>
                      <w:w w:val="99"/>
                    </w:rPr>
                    <w:t>（例如工程督察</w:t>
                  </w:r>
                  <w:r>
                    <w:rPr>
                      <w:spacing w:val="-104"/>
                      <w:w w:val="99"/>
                    </w:rPr>
                    <w:t>）</w:t>
                  </w:r>
                  <w:r>
                    <w:rPr>
                      <w:w w:val="99"/>
                    </w:rPr>
                    <w:t>；</w:t>
                  </w:r>
                  <w:r>
                    <w:rPr/>
                    <w:t>部分职位负责执行与工务有关的全港性规管工作（例如屋宇测量师）。</w:t>
                  </w:r>
                </w:p>
                <w:p>
                  <w:pPr>
                    <w:pStyle w:val="BodyText"/>
                    <w:spacing w:line="281" w:lineRule="exact"/>
                    <w:ind w:left="103"/>
                  </w:pPr>
                  <w:r>
                    <w:rPr/>
                    <w:t>职位属系5</w:t>
                  </w:r>
                  <w:r>
                    <w:rPr>
                      <w:rFonts w:ascii="方正姚体" w:eastAsia="方正姚体" w:hint="eastAsia"/>
                    </w:rPr>
                    <w:t>︰</w:t>
                  </w:r>
                  <w:r>
                    <w:rPr/>
                    <w:t>操作支持属系</w:t>
                  </w:r>
                </w:p>
                <w:p>
                  <w:pPr>
                    <w:pStyle w:val="BodyText"/>
                    <w:spacing w:line="278" w:lineRule="auto" w:before="31"/>
                    <w:ind w:left="103" w:right="103"/>
                  </w:pPr>
                  <w:r>
                    <w:rPr>
                      <w:spacing w:val="-5"/>
                      <w:w w:val="95"/>
                    </w:rPr>
                    <w:t>这职位属系的职位负责为机构提供操作支持，例如非行政性质的服务。这属系内的职位通常   </w:t>
                  </w:r>
                  <w:r>
                    <w:rPr>
                      <w:spacing w:val="-5"/>
                    </w:rPr>
                    <w:t>需操作仪器或机器、从事体力劳动、往多处地点工作或在户外工作（例如工人）。</w:t>
                  </w:r>
                </w:p>
              </w:txbxContent>
            </v:textbox>
            <v:stroke dashstyle="solid"/>
            <w10:wrap type="topAndBottom"/>
          </v:shape>
        </w:pict>
      </w:r>
    </w:p>
    <w:p>
      <w:pPr>
        <w:pStyle w:val="BodyText"/>
        <w:spacing w:before="4"/>
        <w:ind w:left="0"/>
        <w:rPr>
          <w:sz w:val="18"/>
        </w:rPr>
      </w:pPr>
    </w:p>
    <w:p>
      <w:pPr>
        <w:pStyle w:val="Heading1"/>
        <w:numPr>
          <w:ilvl w:val="0"/>
          <w:numId w:val="5"/>
        </w:numPr>
        <w:tabs>
          <w:tab w:pos="643" w:val="left" w:leader="none"/>
        </w:tabs>
        <w:spacing w:line="384" w:lineRule="exact" w:before="0" w:after="0"/>
        <w:ind w:left="642" w:right="0" w:hanging="423"/>
        <w:jc w:val="left"/>
      </w:pPr>
      <w:r>
        <w:rPr/>
        <w:t>选取纳入调查范围的私营机构</w:t>
      </w:r>
    </w:p>
    <w:p>
      <w:pPr>
        <w:pStyle w:val="BodyText"/>
        <w:spacing w:line="278" w:lineRule="auto"/>
        <w:ind w:right="335"/>
        <w:jc w:val="both"/>
      </w:pPr>
      <w:r>
        <w:rPr>
          <w:w w:val="95"/>
        </w:rPr>
        <w:t>我们建议选取纳入调查范围的私营机构的准则可与薪酬趋势调查所采用的准则大致相同，   但由于薪酬水平调查和薪酬趋势调查的性质不同，因此，有需要对有关准则作出调整，供   </w:t>
      </w:r>
      <w:r>
        <w:rPr/>
        <w:t>进行薪酬水平调查时采用。</w:t>
      </w:r>
    </w:p>
    <w:p>
      <w:pPr>
        <w:pStyle w:val="BodyText"/>
        <w:spacing w:line="278" w:lineRule="auto"/>
        <w:ind w:right="229"/>
      </w:pPr>
      <w:r>
        <w:rPr/>
        <w:t>我们曾考虑过向私营机构搜集薪酬数据的方法 - 是否需要为该项调查特别搜集数据，抑或可利用薪酬顾问现有的数据库。由于需要因应薪酬水平调查的特别要求订定一套调查方</w:t>
      </w:r>
    </w:p>
    <w:p>
      <w:pPr>
        <w:pStyle w:val="BodyText"/>
        <w:spacing w:line="269" w:lineRule="exact"/>
      </w:pPr>
      <w:r>
        <w:rPr/>
        <w:t>法，我们建议特别进行一项调查，向私营机构搜集数据。</w:t>
      </w:r>
    </w:p>
    <w:p>
      <w:pPr>
        <w:pStyle w:val="BodyText"/>
        <w:spacing w:line="256" w:lineRule="exact" w:before="41"/>
      </w:pPr>
      <w:r>
        <w:rPr/>
        <w:t>·····</w:t>
      </w:r>
    </w:p>
    <w:p>
      <w:pPr>
        <w:pStyle w:val="Heading1"/>
        <w:spacing w:line="373" w:lineRule="exact"/>
      </w:pPr>
      <w:r>
        <w:rPr/>
        <w:pict>
          <v:shape style="position:absolute;margin-left:84.360001pt;margin-top:17.337345pt;width:426.85pt;height:48.2pt;mso-position-horizontal-relative:page;mso-position-vertical-relative:paragraph;z-index:25168998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7"/>
                    <w:gridCol w:w="5435"/>
                  </w:tblGrid>
                  <w:tr>
                    <w:trPr>
                      <w:trHeight w:val="311" w:hRule="atLeast"/>
                    </w:trPr>
                    <w:tc>
                      <w:tcPr>
                        <w:tcW w:w="3087" w:type="dxa"/>
                      </w:tcPr>
                      <w:p>
                        <w:pPr>
                          <w:pStyle w:val="TableParagraph"/>
                          <w:spacing w:before="41"/>
                          <w:rPr>
                            <w:sz w:val="18"/>
                          </w:rPr>
                        </w:pPr>
                        <w:r>
                          <w:rPr>
                            <w:sz w:val="18"/>
                          </w:rPr>
                          <w:t>可采用的准则</w:t>
                        </w:r>
                      </w:p>
                    </w:tc>
                    <w:tc>
                      <w:tcPr>
                        <w:tcW w:w="5435" w:type="dxa"/>
                      </w:tcPr>
                      <w:p>
                        <w:pPr>
                          <w:pStyle w:val="TableParagraph"/>
                          <w:spacing w:before="41"/>
                          <w:rPr>
                            <w:sz w:val="18"/>
                          </w:rPr>
                        </w:pPr>
                        <w:r>
                          <w:rPr>
                            <w:sz w:val="18"/>
                          </w:rPr>
                          <w:t>评语</w:t>
                        </w:r>
                      </w:p>
                    </w:tc>
                  </w:tr>
                  <w:tr>
                    <w:trPr>
                      <w:trHeight w:val="622" w:hRule="atLeast"/>
                    </w:trPr>
                    <w:tc>
                      <w:tcPr>
                        <w:tcW w:w="3087" w:type="dxa"/>
                      </w:tcPr>
                      <w:p>
                        <w:pPr>
                          <w:pStyle w:val="TableParagraph"/>
                          <w:spacing w:before="41"/>
                          <w:rPr>
                            <w:sz w:val="18"/>
                          </w:rPr>
                        </w:pPr>
                        <w:r>
                          <w:rPr>
                            <w:sz w:val="18"/>
                          </w:rPr>
                          <w:t>被选取的机构应被普遍认为是稳健</w:t>
                        </w:r>
                      </w:p>
                      <w:p>
                        <w:pPr>
                          <w:pStyle w:val="TableParagraph"/>
                          <w:spacing w:before="81"/>
                          <w:rPr>
                            <w:sz w:val="18"/>
                          </w:rPr>
                        </w:pPr>
                        <w:r>
                          <w:rPr>
                            <w:sz w:val="18"/>
                          </w:rPr>
                          <w:t>良好的雇主，在工资和薪酬方面，有</w:t>
                        </w:r>
                      </w:p>
                    </w:tc>
                    <w:tc>
                      <w:tcPr>
                        <w:tcW w:w="5435" w:type="dxa"/>
                      </w:tcPr>
                      <w:p>
                        <w:pPr>
                          <w:pStyle w:val="TableParagraph"/>
                          <w:spacing w:before="41"/>
                          <w:rPr>
                            <w:sz w:val="18"/>
                          </w:rPr>
                        </w:pPr>
                        <w:r>
                          <w:rPr>
                            <w:sz w:val="18"/>
                          </w:rPr>
                          <w:t>我们建议具合理及有系统的工资及薪酬管理方法是指 :</w:t>
                        </w:r>
                      </w:p>
                      <w:p>
                        <w:pPr>
                          <w:pStyle w:val="TableParagraph"/>
                          <w:numPr>
                            <w:ilvl w:val="0"/>
                            <w:numId w:val="15"/>
                          </w:numPr>
                          <w:tabs>
                            <w:tab w:pos="527" w:val="left" w:leader="none"/>
                            <w:tab w:pos="528" w:val="left" w:leader="none"/>
                          </w:tabs>
                          <w:spacing w:line="240" w:lineRule="auto" w:before="81" w:after="0"/>
                          <w:ind w:left="527" w:right="0" w:hanging="421"/>
                          <w:jc w:val="left"/>
                          <w:rPr>
                            <w:sz w:val="18"/>
                          </w:rPr>
                        </w:pPr>
                        <w:r>
                          <w:rPr>
                            <w:spacing w:val="-4"/>
                            <w:sz w:val="18"/>
                          </w:rPr>
                          <w:t>定期及有系统地与其它机构比较，评估机构的薪酬是否具竞争</w:t>
                        </w:r>
                      </w:p>
                    </w:tc>
                  </w:tr>
                </w:tbl>
                <w:p>
                  <w:pPr>
                    <w:pStyle w:val="BodyText"/>
                    <w:ind w:left="0"/>
                  </w:pPr>
                </w:p>
              </w:txbxContent>
            </v:textbox>
            <w10:wrap type="none"/>
          </v:shape>
        </w:pict>
      </w:r>
      <w:r>
        <w:rPr/>
        <w:t>表：选取私营机构纳入调查范围内的准则</w:t>
      </w:r>
    </w:p>
    <w:p>
      <w:pPr>
        <w:spacing w:after="0" w:line="373" w:lineRule="exact"/>
        <w:sectPr>
          <w:pgSz w:w="11910" w:h="16840"/>
          <w:pgMar w:header="852" w:footer="1829" w:top="1820" w:bottom="2020" w:left="1580" w:right="158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7"/>
        <w:gridCol w:w="5435"/>
      </w:tblGrid>
      <w:tr>
        <w:trPr>
          <w:trHeight w:val="3744" w:hRule="atLeast"/>
        </w:trPr>
        <w:tc>
          <w:tcPr>
            <w:tcW w:w="3087" w:type="dxa"/>
          </w:tcPr>
          <w:p>
            <w:pPr>
              <w:pStyle w:val="TableParagraph"/>
              <w:spacing w:before="40"/>
              <w:rPr>
                <w:sz w:val="18"/>
              </w:rPr>
            </w:pPr>
            <w:r>
              <w:rPr>
                <w:sz w:val="18"/>
              </w:rPr>
              <w:t>一套合理和有系统的管理方法。</w:t>
            </w:r>
          </w:p>
        </w:tc>
        <w:tc>
          <w:tcPr>
            <w:tcW w:w="5435" w:type="dxa"/>
          </w:tcPr>
          <w:p>
            <w:pPr>
              <w:pStyle w:val="TableParagraph"/>
              <w:spacing w:line="324" w:lineRule="auto" w:before="40"/>
              <w:ind w:left="527" w:right="26"/>
              <w:rPr>
                <w:sz w:val="18"/>
              </w:rPr>
            </w:pPr>
            <w:r>
              <w:rPr>
                <w:sz w:val="18"/>
              </w:rPr>
              <w:t>力（例如透过参考巿场薪酬水平调查所得的数据、定期与外界交流以确定当时的市场薪酬水平等）；</w:t>
            </w:r>
          </w:p>
          <w:p>
            <w:pPr>
              <w:pStyle w:val="TableParagraph"/>
              <w:numPr>
                <w:ilvl w:val="0"/>
                <w:numId w:val="16"/>
              </w:numPr>
              <w:tabs>
                <w:tab w:pos="527" w:val="left" w:leader="none"/>
                <w:tab w:pos="528" w:val="left" w:leader="none"/>
              </w:tabs>
              <w:spacing w:line="324" w:lineRule="auto" w:before="1" w:after="0"/>
              <w:ind w:left="527" w:right="95" w:hanging="420"/>
              <w:jc w:val="left"/>
              <w:rPr>
                <w:sz w:val="18"/>
              </w:rPr>
            </w:pPr>
            <w:r>
              <w:rPr>
                <w:spacing w:val="-5"/>
                <w:sz w:val="18"/>
              </w:rPr>
              <w:t>设有既定政策为个别职位厘定基本薪金，并一般跟随有关政策</w:t>
            </w:r>
            <w:r>
              <w:rPr>
                <w:sz w:val="18"/>
              </w:rPr>
              <w:t>厘定薪金；</w:t>
            </w:r>
          </w:p>
          <w:p>
            <w:pPr>
              <w:pStyle w:val="TableParagraph"/>
              <w:spacing w:line="244" w:lineRule="exact"/>
              <w:rPr>
                <w:rFonts w:ascii="方正姚体" w:eastAsia="方正姚体" w:hint="eastAsia"/>
                <w:sz w:val="18"/>
              </w:rPr>
            </w:pPr>
            <w:r>
              <w:rPr>
                <w:sz w:val="18"/>
              </w:rPr>
              <w:t>稳健良好的雇主是指</w:t>
            </w:r>
            <w:r>
              <w:rPr>
                <w:rFonts w:ascii="方正姚体" w:eastAsia="方正姚体" w:hint="eastAsia"/>
                <w:sz w:val="18"/>
              </w:rPr>
              <w:t>︰</w:t>
            </w:r>
          </w:p>
          <w:p>
            <w:pPr>
              <w:pStyle w:val="TableParagraph"/>
              <w:numPr>
                <w:ilvl w:val="0"/>
                <w:numId w:val="16"/>
              </w:numPr>
              <w:tabs>
                <w:tab w:pos="527" w:val="left" w:leader="none"/>
                <w:tab w:pos="528" w:val="left" w:leader="none"/>
              </w:tabs>
              <w:spacing w:line="324" w:lineRule="auto" w:before="69" w:after="0"/>
              <w:ind w:left="527" w:right="95" w:hanging="420"/>
              <w:jc w:val="left"/>
              <w:rPr>
                <w:sz w:val="18"/>
              </w:rPr>
            </w:pPr>
            <w:r>
              <w:rPr>
                <w:rFonts w:ascii="Arial" w:hAnsi="Arial" w:eastAsia="Arial"/>
                <w:spacing w:val="20"/>
                <w:sz w:val="18"/>
              </w:rPr>
              <w:t>• </w:t>
            </w:r>
            <w:r>
              <w:rPr>
                <w:spacing w:val="-3"/>
                <w:sz w:val="18"/>
              </w:rPr>
              <w:t>与所属行业的其它机构及其它同类的员工的情况相比，并没</w:t>
            </w:r>
            <w:r>
              <w:rPr>
                <w:sz w:val="18"/>
              </w:rPr>
              <w:t>有出现过度的人事变动情况；及</w:t>
            </w:r>
          </w:p>
          <w:p>
            <w:pPr>
              <w:pStyle w:val="TableParagraph"/>
              <w:numPr>
                <w:ilvl w:val="0"/>
                <w:numId w:val="16"/>
              </w:numPr>
              <w:tabs>
                <w:tab w:pos="527" w:val="left" w:leader="none"/>
                <w:tab w:pos="528" w:val="left" w:leader="none"/>
              </w:tabs>
              <w:spacing w:line="324" w:lineRule="auto" w:before="2" w:after="0"/>
              <w:ind w:left="527" w:right="35" w:hanging="420"/>
              <w:jc w:val="left"/>
              <w:rPr>
                <w:sz w:val="18"/>
              </w:rPr>
            </w:pPr>
            <w:r>
              <w:rPr>
                <w:spacing w:val="-1"/>
                <w:sz w:val="18"/>
              </w:rPr>
              <w:t>提供所属行业通常提供及有关雇员类别通常享有的员工福利， </w:t>
            </w:r>
            <w:r>
              <w:rPr>
                <w:spacing w:val="-3"/>
                <w:sz w:val="18"/>
              </w:rPr>
              <w:t>例如以现金形式或保险计划形式（</w:t>
            </w:r>
            <w:r>
              <w:rPr>
                <w:sz w:val="18"/>
              </w:rPr>
              <w:t>如医疗保险</w:t>
            </w:r>
            <w:r>
              <w:rPr>
                <w:spacing w:val="-29"/>
                <w:sz w:val="18"/>
              </w:rPr>
              <w:t>）</w:t>
            </w:r>
            <w:r>
              <w:rPr>
                <w:sz w:val="18"/>
              </w:rPr>
              <w:t>提供的员工福利。</w:t>
            </w:r>
          </w:p>
          <w:p>
            <w:pPr>
              <w:pStyle w:val="TableParagraph"/>
              <w:spacing w:before="2"/>
              <w:rPr>
                <w:sz w:val="18"/>
              </w:rPr>
            </w:pPr>
            <w:r>
              <w:rPr>
                <w:sz w:val="18"/>
              </w:rPr>
              <w:t>曾实施缩减人手或减薪措施的机构并不一定视为并非“稳健良好的</w:t>
            </w:r>
          </w:p>
          <w:p>
            <w:pPr>
              <w:pStyle w:val="TableParagraph"/>
              <w:spacing w:before="81"/>
              <w:rPr>
                <w:sz w:val="18"/>
              </w:rPr>
            </w:pPr>
            <w:r>
              <w:rPr>
                <w:sz w:val="18"/>
              </w:rPr>
              <w:t>雇主”。</w:t>
            </w:r>
          </w:p>
        </w:tc>
      </w:tr>
      <w:tr>
        <w:trPr>
          <w:trHeight w:val="1871" w:hRule="atLeast"/>
        </w:trPr>
        <w:tc>
          <w:tcPr>
            <w:tcW w:w="3087" w:type="dxa"/>
          </w:tcPr>
          <w:p>
            <w:pPr>
              <w:pStyle w:val="TableParagraph"/>
              <w:spacing w:line="324" w:lineRule="auto" w:before="42"/>
              <w:ind w:right="267"/>
              <w:rPr>
                <w:sz w:val="18"/>
              </w:rPr>
            </w:pPr>
            <w:r>
              <w:rPr>
                <w:sz w:val="18"/>
              </w:rPr>
              <w:t>被选取的机构应有足够数目可与公务员比较职位作合理配对的职位。</w:t>
            </w:r>
          </w:p>
        </w:tc>
        <w:tc>
          <w:tcPr>
            <w:tcW w:w="5435" w:type="dxa"/>
          </w:tcPr>
          <w:p>
            <w:pPr>
              <w:pStyle w:val="TableParagraph"/>
              <w:spacing w:line="324" w:lineRule="auto" w:before="42"/>
              <w:ind w:right="95"/>
              <w:rPr>
                <w:sz w:val="18"/>
              </w:rPr>
            </w:pPr>
            <w:r>
              <w:rPr>
                <w:sz w:val="18"/>
              </w:rPr>
              <w:t>我们建议应确保纳入调查范围的机构整体来说能提供足够数目可 </w:t>
            </w:r>
            <w:r>
              <w:rPr>
                <w:spacing w:val="-1"/>
                <w:sz w:val="18"/>
              </w:rPr>
              <w:t>与公务员比较职位作合理配对的私营机构职位，而每一间机构最好都设有多种不同的私营机构比较职位，以便所搜集得到的资料能够反映同一机构内不同职位之间的薪酬对比关系。有些比较职位难以在其它大部分参与调查的机构中找到，我们可能需要将一些设有这</w:t>
            </w:r>
          </w:p>
          <w:p>
            <w:pPr>
              <w:pStyle w:val="TableParagraph"/>
              <w:spacing w:before="3"/>
              <w:rPr>
                <w:sz w:val="18"/>
              </w:rPr>
            </w:pPr>
            <w:r>
              <w:rPr>
                <w:sz w:val="18"/>
              </w:rPr>
              <w:t>些职位而又符合其它拣选准则的机构纳入调查范围内。</w:t>
            </w:r>
          </w:p>
        </w:tc>
      </w:tr>
      <w:tr>
        <w:trPr>
          <w:trHeight w:val="3120" w:hRule="atLeast"/>
        </w:trPr>
        <w:tc>
          <w:tcPr>
            <w:tcW w:w="3087" w:type="dxa"/>
          </w:tcPr>
          <w:p>
            <w:pPr>
              <w:pStyle w:val="TableParagraph"/>
              <w:spacing w:line="324" w:lineRule="auto" w:before="41"/>
              <w:ind w:right="178"/>
              <w:rPr>
                <w:sz w:val="18"/>
              </w:rPr>
            </w:pPr>
            <w:r>
              <w:rPr>
                <w:sz w:val="18"/>
              </w:rPr>
              <w:t>被选取的机构应在所属行业中被视为具代表性的雇主， 而雇员一般达</w:t>
            </w:r>
          </w:p>
          <w:p>
            <w:pPr>
              <w:pStyle w:val="TableParagraph"/>
              <w:spacing w:line="324" w:lineRule="auto" w:before="2"/>
              <w:ind w:right="87"/>
              <w:rPr>
                <w:sz w:val="18"/>
              </w:rPr>
            </w:pPr>
            <w:r>
              <w:rPr>
                <w:sz w:val="18"/>
              </w:rPr>
              <w:t>100</w:t>
            </w:r>
            <w:r>
              <w:rPr>
                <w:spacing w:val="-3"/>
                <w:sz w:val="18"/>
              </w:rPr>
              <w:t> 名或以上。但如将一些机构纳入</w:t>
            </w:r>
            <w:r>
              <w:rPr>
                <w:spacing w:val="-4"/>
                <w:sz w:val="18"/>
              </w:rPr>
              <w:t>调查范围内可涵盖更多的比较职位， </w:t>
            </w:r>
            <w:r>
              <w:rPr>
                <w:sz w:val="18"/>
              </w:rPr>
              <w:t>而这些机构又能符合其它拣选准则 的话，我们可对私营机构雇</w:t>
            </w:r>
          </w:p>
          <w:p>
            <w:pPr>
              <w:pStyle w:val="TableParagraph"/>
              <w:spacing w:line="324" w:lineRule="auto" w:before="2"/>
              <w:ind w:right="53"/>
              <w:rPr>
                <w:sz w:val="18"/>
              </w:rPr>
            </w:pPr>
            <w:r>
              <w:rPr>
                <w:sz w:val="18"/>
              </w:rPr>
              <w:t>员人数的准则作弹性处理。这项准则不会令雇员人数少于100 人的机构不被纳入调查范围内。</w:t>
            </w:r>
          </w:p>
        </w:tc>
        <w:tc>
          <w:tcPr>
            <w:tcW w:w="5435" w:type="dxa"/>
          </w:tcPr>
          <w:p>
            <w:pPr>
              <w:pStyle w:val="TableParagraph"/>
              <w:spacing w:line="324" w:lineRule="auto" w:before="41"/>
              <w:ind w:right="95"/>
              <w:rPr>
                <w:sz w:val="18"/>
              </w:rPr>
            </w:pPr>
            <w:r>
              <w:rPr>
                <w:sz w:val="18"/>
              </w:rPr>
              <w:t>我们建议大部分参与调查的私营机构的雇员人数不可少于100</w:t>
            </w:r>
            <w:r>
              <w:rPr>
                <w:spacing w:val="-6"/>
                <w:sz w:val="18"/>
              </w:rPr>
              <w:t> 名， </w:t>
            </w:r>
            <w:r>
              <w:rPr>
                <w:sz w:val="18"/>
              </w:rPr>
              <w:t>但由于需要从私营机构中选取足够数目可与公务员比较职位作合 </w:t>
            </w:r>
            <w:r>
              <w:rPr>
                <w:spacing w:val="-1"/>
                <w:sz w:val="18"/>
              </w:rPr>
              <w:t>理配对的职位，以及需取得足够数据以确定比较职位的一般薪酬安排，因此可对机构雇员人数这准则作弹性处理。为能有效率地搜集薪酬数据，我们预期调查范围内的机构大部分为大型机构，能够提</w:t>
            </w:r>
            <w:r>
              <w:rPr>
                <w:sz w:val="18"/>
              </w:rPr>
              <w:t>供多种比较职位的数据。</w:t>
            </w:r>
          </w:p>
        </w:tc>
      </w:tr>
      <w:tr>
        <w:trPr>
          <w:trHeight w:val="1871" w:hRule="atLeast"/>
        </w:trPr>
        <w:tc>
          <w:tcPr>
            <w:tcW w:w="3087" w:type="dxa"/>
          </w:tcPr>
          <w:p>
            <w:pPr>
              <w:pStyle w:val="TableParagraph"/>
              <w:spacing w:line="324" w:lineRule="auto" w:before="41"/>
              <w:ind w:right="87"/>
              <w:rPr>
                <w:sz w:val="18"/>
              </w:rPr>
            </w:pPr>
            <w:r>
              <w:rPr>
                <w:sz w:val="18"/>
              </w:rPr>
              <w:t>被选取的机构应根据适用于香港的 </w:t>
            </w:r>
            <w:r>
              <w:rPr>
                <w:spacing w:val="-2"/>
                <w:sz w:val="18"/>
              </w:rPr>
              <w:t>因素及考虑，而并非根据适用于香港</w:t>
            </w:r>
            <w:r>
              <w:rPr>
                <w:spacing w:val="-3"/>
                <w:sz w:val="18"/>
              </w:rPr>
              <w:t>以外的因素和考虑，厘定薪酬水平。</w:t>
            </w:r>
          </w:p>
        </w:tc>
        <w:tc>
          <w:tcPr>
            <w:tcW w:w="5435" w:type="dxa"/>
          </w:tcPr>
          <w:p>
            <w:pPr>
              <w:pStyle w:val="TableParagraph"/>
              <w:spacing w:line="324" w:lineRule="auto" w:before="41"/>
              <w:ind w:right="95"/>
              <w:rPr>
                <w:sz w:val="18"/>
              </w:rPr>
            </w:pPr>
            <w:r>
              <w:rPr>
                <w:spacing w:val="-1"/>
                <w:sz w:val="18"/>
              </w:rPr>
              <w:t>经考虑从有关调查方法的讨论中所收到的意见后，我们建议那些由</w:t>
            </w:r>
            <w:r>
              <w:rPr>
                <w:sz w:val="18"/>
              </w:rPr>
              <w:t>外地人士短暂留港出任的职位或由留港的外地人士因负责某指定 </w:t>
            </w:r>
            <w:r>
              <w:rPr>
                <w:spacing w:val="-1"/>
                <w:sz w:val="18"/>
              </w:rPr>
              <w:t>工作项目而出任的职位的薪酬数据应不予考虑。这项准则不应被理</w:t>
            </w:r>
            <w:r>
              <w:rPr>
                <w:sz w:val="18"/>
              </w:rPr>
              <w:t>解为剔除那些会按香港以外的因素和考虑厘定某些雇员（</w:t>
            </w:r>
            <w:r>
              <w:rPr>
                <w:spacing w:val="-4"/>
                <w:sz w:val="18"/>
              </w:rPr>
              <w:t>如外来雇</w:t>
            </w:r>
            <w:r>
              <w:rPr>
                <w:sz w:val="18"/>
              </w:rPr>
              <w:t>员）</w:t>
            </w:r>
            <w:r>
              <w:rPr>
                <w:spacing w:val="-2"/>
                <w:sz w:val="18"/>
              </w:rPr>
              <w:t>的薪酬的机构。在这种情况下，我们建议只需将有关职位从调</w:t>
            </w:r>
          </w:p>
          <w:p>
            <w:pPr>
              <w:pStyle w:val="TableParagraph"/>
              <w:spacing w:before="3"/>
              <w:rPr>
                <w:sz w:val="18"/>
              </w:rPr>
            </w:pPr>
            <w:r>
              <w:rPr>
                <w:sz w:val="18"/>
              </w:rPr>
              <w:t>查范围内剔除即可。</w:t>
            </w:r>
          </w:p>
        </w:tc>
      </w:tr>
      <w:tr>
        <w:trPr>
          <w:trHeight w:val="1248" w:hRule="atLeast"/>
        </w:trPr>
        <w:tc>
          <w:tcPr>
            <w:tcW w:w="3087" w:type="dxa"/>
          </w:tcPr>
          <w:p>
            <w:pPr>
              <w:pStyle w:val="TableParagraph"/>
              <w:spacing w:line="324" w:lineRule="auto" w:before="40"/>
              <w:ind w:right="267"/>
              <w:jc w:val="both"/>
              <w:rPr>
                <w:sz w:val="18"/>
              </w:rPr>
            </w:pPr>
            <w:r>
              <w:rPr>
                <w:sz w:val="18"/>
              </w:rPr>
              <w:t>被选取的机构并非以公务员薪级表或公务员薪酬调整作为决定其员工的薪酬水平或薪酬调整的主要考虑</w:t>
            </w:r>
          </w:p>
          <w:p>
            <w:pPr>
              <w:pStyle w:val="TableParagraph"/>
              <w:spacing w:before="2"/>
              <w:rPr>
                <w:sz w:val="18"/>
              </w:rPr>
            </w:pPr>
            <w:r>
              <w:rPr>
                <w:sz w:val="18"/>
              </w:rPr>
              <w:t>因素，或在过去五年内没有这样做。</w:t>
            </w:r>
          </w:p>
        </w:tc>
        <w:tc>
          <w:tcPr>
            <w:tcW w:w="5435" w:type="dxa"/>
          </w:tcPr>
          <w:p>
            <w:pPr>
              <w:pStyle w:val="TableParagraph"/>
              <w:spacing w:line="324" w:lineRule="auto" w:before="40"/>
              <w:ind w:right="95"/>
              <w:rPr>
                <w:sz w:val="18"/>
              </w:rPr>
            </w:pPr>
            <w:r>
              <w:rPr>
                <w:sz w:val="18"/>
              </w:rPr>
              <w:t>这项要求的理据很明显，但可能会大大局限了与某些比较职位可作有效配对的私营机构职位样本数目。</w:t>
            </w:r>
          </w:p>
        </w:tc>
      </w:tr>
      <w:tr>
        <w:trPr>
          <w:trHeight w:val="621" w:hRule="atLeast"/>
        </w:trPr>
        <w:tc>
          <w:tcPr>
            <w:tcW w:w="3087" w:type="dxa"/>
          </w:tcPr>
          <w:p>
            <w:pPr>
              <w:pStyle w:val="TableParagraph"/>
              <w:spacing w:before="40"/>
              <w:rPr>
                <w:sz w:val="18"/>
              </w:rPr>
            </w:pPr>
            <w:r>
              <w:rPr>
                <w:sz w:val="18"/>
              </w:rPr>
              <w:t>被选取的机构如属香港同一集团的</w:t>
            </w:r>
          </w:p>
          <w:p>
            <w:pPr>
              <w:pStyle w:val="TableParagraph"/>
              <w:spacing w:before="81"/>
              <w:rPr>
                <w:sz w:val="18"/>
              </w:rPr>
            </w:pPr>
            <w:r>
              <w:rPr>
                <w:sz w:val="18"/>
              </w:rPr>
              <w:t>公司，若是跟随各自所属的经济行业</w:t>
            </w:r>
          </w:p>
        </w:tc>
        <w:tc>
          <w:tcPr>
            <w:tcW w:w="5435" w:type="dxa"/>
          </w:tcPr>
          <w:p>
            <w:pPr>
              <w:pStyle w:val="TableParagraph"/>
              <w:spacing w:before="40"/>
              <w:rPr>
                <w:sz w:val="18"/>
              </w:rPr>
            </w:pPr>
            <w:r>
              <w:rPr>
                <w:sz w:val="18"/>
              </w:rPr>
              <w:t>这项准则反映调查的着重点是薪酬水平，而并非每年的薪酬调整。</w:t>
            </w:r>
          </w:p>
          <w:p>
            <w:pPr>
              <w:pStyle w:val="TableParagraph"/>
              <w:spacing w:before="81"/>
              <w:rPr>
                <w:sz w:val="18"/>
              </w:rPr>
            </w:pPr>
            <w:r>
              <w:rPr>
                <w:sz w:val="18"/>
              </w:rPr>
              <w:t>一些机构间中将其管理人员自某一集团属下公司调派往另一间集</w:t>
            </w:r>
          </w:p>
        </w:tc>
      </w:tr>
    </w:tbl>
    <w:p>
      <w:pPr>
        <w:spacing w:after="0"/>
        <w:rPr>
          <w:sz w:val="18"/>
        </w:rPr>
        <w:sectPr>
          <w:pgSz w:w="11910" w:h="16840"/>
          <w:pgMar w:header="852" w:footer="1829" w:top="1880" w:bottom="2100" w:left="1580" w:right="1580"/>
        </w:sectPr>
      </w:pPr>
    </w:p>
    <w:p>
      <w:pPr>
        <w:pStyle w:val="BodyText"/>
        <w:spacing w:before="12"/>
        <w:ind w:left="0"/>
        <w:rPr>
          <w:rFonts w:ascii="Microsoft JhengHei"/>
          <w:b/>
          <w:sz w:val="3"/>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87"/>
        <w:gridCol w:w="5435"/>
      </w:tblGrid>
      <w:tr>
        <w:trPr>
          <w:trHeight w:val="1560" w:hRule="atLeast"/>
        </w:trPr>
        <w:tc>
          <w:tcPr>
            <w:tcW w:w="3087" w:type="dxa"/>
          </w:tcPr>
          <w:p>
            <w:pPr>
              <w:pStyle w:val="TableParagraph"/>
              <w:spacing w:line="324" w:lineRule="auto" w:before="40"/>
              <w:ind w:right="90"/>
              <w:rPr>
                <w:sz w:val="18"/>
              </w:rPr>
            </w:pPr>
            <w:r>
              <w:rPr>
                <w:sz w:val="18"/>
              </w:rPr>
              <w:t>情况制定其薪酬安排，则有关机构应被视为独立的机构。可规定同一集团不可有多于某一数目的附属机构参与调查。</w:t>
            </w:r>
          </w:p>
        </w:tc>
        <w:tc>
          <w:tcPr>
            <w:tcW w:w="5435" w:type="dxa"/>
          </w:tcPr>
          <w:p>
            <w:pPr>
              <w:pStyle w:val="TableParagraph"/>
              <w:spacing w:line="324" w:lineRule="auto" w:before="40"/>
              <w:ind w:right="95"/>
              <w:jc w:val="both"/>
              <w:rPr>
                <w:sz w:val="18"/>
              </w:rPr>
            </w:pPr>
            <w:r>
              <w:rPr>
                <w:sz w:val="18"/>
              </w:rPr>
              <w:t>团属下公司的私营机构，而有关人员在调职期间会按集团所订薪酬支薪。我们建议应用这项准则时不应过严，而将上述机构剔除于调查范围外。而规定同一集团不可有多于某一数目（或百分比）的属下公司参与调查，是确保调查所得的薪酬水平不会过分侧重反映少</w:t>
            </w:r>
          </w:p>
          <w:p>
            <w:pPr>
              <w:pStyle w:val="TableParagraph"/>
              <w:spacing w:before="2"/>
              <w:rPr>
                <w:sz w:val="18"/>
              </w:rPr>
            </w:pPr>
            <w:r>
              <w:rPr>
                <w:sz w:val="18"/>
              </w:rPr>
              <w:t>数大型机构的情况。</w:t>
            </w:r>
          </w:p>
        </w:tc>
      </w:tr>
      <w:tr>
        <w:trPr>
          <w:trHeight w:val="935" w:hRule="atLeast"/>
        </w:trPr>
        <w:tc>
          <w:tcPr>
            <w:tcW w:w="3087" w:type="dxa"/>
          </w:tcPr>
          <w:p>
            <w:pPr>
              <w:pStyle w:val="TableParagraph"/>
              <w:spacing w:line="324" w:lineRule="auto" w:before="42"/>
              <w:ind w:right="267"/>
              <w:rPr>
                <w:sz w:val="18"/>
              </w:rPr>
            </w:pPr>
            <w:r>
              <w:rPr>
                <w:sz w:val="18"/>
              </w:rPr>
              <w:t>被选取的机构总体来说应广泛表各经济行业。</w:t>
            </w:r>
          </w:p>
        </w:tc>
        <w:tc>
          <w:tcPr>
            <w:tcW w:w="5435" w:type="dxa"/>
          </w:tcPr>
          <w:p>
            <w:pPr>
              <w:pStyle w:val="TableParagraph"/>
              <w:spacing w:line="324" w:lineRule="auto" w:before="42"/>
              <w:ind w:right="95"/>
              <w:rPr>
                <w:sz w:val="18"/>
              </w:rPr>
            </w:pPr>
            <w:r>
              <w:rPr>
                <w:sz w:val="18"/>
              </w:rPr>
              <w:t>我们建议被选取的机构应能广泛代表各经济行业，而调查所涵盖的私营机构比较职位亦需有足够的代表性，我们需在两者之间取得平</w:t>
            </w:r>
          </w:p>
          <w:p>
            <w:pPr>
              <w:pStyle w:val="TableParagraph"/>
              <w:spacing w:before="1"/>
              <w:rPr>
                <w:sz w:val="18"/>
              </w:rPr>
            </w:pPr>
            <w:r>
              <w:rPr>
                <w:sz w:val="18"/>
              </w:rPr>
              <w:t>衡。</w:t>
            </w:r>
          </w:p>
        </w:tc>
      </w:tr>
      <w:tr>
        <w:trPr>
          <w:trHeight w:val="936" w:hRule="atLeast"/>
        </w:trPr>
        <w:tc>
          <w:tcPr>
            <w:tcW w:w="3087" w:type="dxa"/>
          </w:tcPr>
          <w:p>
            <w:pPr>
              <w:pStyle w:val="TableParagraph"/>
              <w:spacing w:line="324" w:lineRule="auto" w:before="41"/>
              <w:ind w:right="53"/>
              <w:rPr>
                <w:sz w:val="18"/>
              </w:rPr>
            </w:pPr>
            <w:r>
              <w:rPr>
                <w:sz w:val="18"/>
              </w:rPr>
              <w:t>应该有足够数目标机构参与调查，确保每个职位属系可自至少十间机构</w:t>
            </w:r>
          </w:p>
          <w:p>
            <w:pPr>
              <w:pStyle w:val="TableParagraph"/>
              <w:spacing w:before="2"/>
              <w:rPr>
                <w:sz w:val="18"/>
              </w:rPr>
            </w:pPr>
            <w:r>
              <w:rPr>
                <w:sz w:val="18"/>
              </w:rPr>
              <w:t>搜集数据。</w:t>
            </w:r>
          </w:p>
        </w:tc>
        <w:tc>
          <w:tcPr>
            <w:tcW w:w="5435" w:type="dxa"/>
          </w:tcPr>
          <w:p>
            <w:pPr>
              <w:pStyle w:val="TableParagraph"/>
              <w:spacing w:before="41"/>
              <w:rPr>
                <w:sz w:val="18"/>
              </w:rPr>
            </w:pPr>
            <w:r>
              <w:rPr>
                <w:sz w:val="18"/>
              </w:rPr>
              <w:t>这项准则是为确保能为各职位属系搜集有意义及具代表性的数据</w:t>
            </w:r>
          </w:p>
        </w:tc>
      </w:tr>
      <w:tr>
        <w:trPr>
          <w:trHeight w:val="1247" w:hRule="atLeast"/>
        </w:trPr>
        <w:tc>
          <w:tcPr>
            <w:tcW w:w="3087" w:type="dxa"/>
          </w:tcPr>
          <w:p>
            <w:pPr>
              <w:pStyle w:val="TableParagraph"/>
              <w:spacing w:before="41"/>
              <w:rPr>
                <w:sz w:val="18"/>
              </w:rPr>
            </w:pPr>
            <w:r>
              <w:rPr>
                <w:sz w:val="18"/>
              </w:rPr>
              <w:t>调查范围应包括70-100 间机构。</w:t>
            </w:r>
          </w:p>
        </w:tc>
        <w:tc>
          <w:tcPr>
            <w:tcW w:w="5435" w:type="dxa"/>
          </w:tcPr>
          <w:p>
            <w:pPr>
              <w:pStyle w:val="TableParagraph"/>
              <w:spacing w:line="324" w:lineRule="auto" w:before="41"/>
              <w:ind w:right="95"/>
              <w:rPr>
                <w:sz w:val="18"/>
              </w:rPr>
            </w:pPr>
            <w:r>
              <w:rPr>
                <w:sz w:val="18"/>
              </w:rPr>
              <w:t>我们建议调查范围应包括至少70 间机构，以确保数据能合理地代表私营机构薪酬水平，及确保将来每次进行的调查所得的结果均具一致的代表性。如有关机构已符合其它选取机构的准则，在决定纳</w:t>
            </w:r>
          </w:p>
          <w:p>
            <w:pPr>
              <w:pStyle w:val="TableParagraph"/>
              <w:spacing w:before="2"/>
              <w:rPr>
                <w:sz w:val="18"/>
              </w:rPr>
            </w:pPr>
            <w:r>
              <w:rPr>
                <w:sz w:val="18"/>
              </w:rPr>
              <w:t>入调查范围机构的数目时，亦应顾及进行调查工作所需的资源。</w:t>
            </w:r>
          </w:p>
        </w:tc>
      </w:tr>
    </w:tbl>
    <w:p>
      <w:pPr>
        <w:pStyle w:val="BodyText"/>
        <w:ind w:left="0"/>
        <w:rPr>
          <w:rFonts w:ascii="Microsoft JhengHei"/>
          <w:b/>
          <w:sz w:val="20"/>
        </w:rPr>
      </w:pPr>
    </w:p>
    <w:p>
      <w:pPr>
        <w:pStyle w:val="BodyText"/>
        <w:spacing w:before="5"/>
        <w:ind w:left="0"/>
        <w:rPr>
          <w:rFonts w:ascii="Microsoft JhengHei"/>
          <w:b/>
          <w:sz w:val="11"/>
        </w:rPr>
      </w:pPr>
    </w:p>
    <w:p>
      <w:pPr>
        <w:pStyle w:val="ListParagraph"/>
        <w:numPr>
          <w:ilvl w:val="0"/>
          <w:numId w:val="5"/>
        </w:numPr>
        <w:tabs>
          <w:tab w:pos="537" w:val="left" w:leader="none"/>
        </w:tabs>
        <w:spacing w:line="194" w:lineRule="auto" w:before="53" w:after="0"/>
        <w:ind w:left="220" w:right="7364" w:firstLine="0"/>
        <w:jc w:val="left"/>
        <w:rPr>
          <w:rFonts w:ascii="Microsoft JhengHei" w:eastAsia="Microsoft JhengHei" w:hint="eastAsia"/>
          <w:b/>
          <w:sz w:val="21"/>
        </w:rPr>
      </w:pPr>
      <w:r>
        <w:rPr>
          <w:rFonts w:ascii="Microsoft JhengHei" w:eastAsia="Microsoft JhengHei" w:hint="eastAsia"/>
          <w:b/>
          <w:spacing w:val="-4"/>
          <w:sz w:val="21"/>
        </w:rPr>
        <w:t>数据资料</w:t>
      </w:r>
      <w:r>
        <w:rPr>
          <w:rFonts w:ascii="Microsoft JhengHei" w:eastAsia="Microsoft JhengHei" w:hint="eastAsia"/>
          <w:b/>
          <w:sz w:val="21"/>
        </w:rPr>
        <w:t>摘要</w:t>
      </w:r>
    </w:p>
    <w:p>
      <w:pPr>
        <w:pStyle w:val="BodyText"/>
        <w:spacing w:line="278" w:lineRule="auto" w:before="15"/>
        <w:ind w:right="219"/>
        <w:jc w:val="both"/>
      </w:pPr>
      <w:r>
        <w:rPr>
          <w:spacing w:val="-5"/>
          <w:w w:val="95"/>
        </w:rPr>
        <w:t>薪酬水平调查着眼于薪酬方面的比较。我们建议搜集私营机构内有关现金报酬的数据，包括   </w:t>
      </w:r>
      <w:r>
        <w:rPr>
          <w:spacing w:val="-7"/>
          <w:w w:val="95"/>
        </w:rPr>
        <w:t>底薪、固定奖金</w:t>
      </w:r>
      <w:r>
        <w:rPr>
          <w:w w:val="95"/>
        </w:rPr>
        <w:t>（例如年终固定奖金</w:t>
      </w:r>
      <w:r>
        <w:rPr>
          <w:spacing w:val="-17"/>
          <w:w w:val="95"/>
        </w:rPr>
        <w:t>）</w:t>
      </w:r>
      <w:r>
        <w:rPr>
          <w:spacing w:val="-6"/>
          <w:w w:val="95"/>
        </w:rPr>
        <w:t>、现金津贴，及基于个人和公司的表现而发放的浮动   </w:t>
      </w:r>
      <w:r>
        <w:rPr>
          <w:spacing w:val="-6"/>
        </w:rPr>
        <w:t>薪酬，以作比较。</w:t>
      </w:r>
    </w:p>
    <w:p>
      <w:pPr>
        <w:pStyle w:val="BodyText"/>
        <w:spacing w:line="278" w:lineRule="auto"/>
        <w:ind w:right="219"/>
        <w:jc w:val="both"/>
      </w:pPr>
      <w:r>
        <w:rPr>
          <w:spacing w:val="-4"/>
          <w:w w:val="95"/>
        </w:rPr>
        <w:t>公务员事务局会在薪酬水平调查以外另行检讨公务员福利待遇。但我们建议可藉进行薪酬水   </w:t>
      </w:r>
      <w:r>
        <w:rPr>
          <w:spacing w:val="-10"/>
          <w:w w:val="95"/>
        </w:rPr>
        <w:t>平调查，搜集有关私营机构为员工提供的福利和津贴的数据，以协助当局考虑如何应用薪酬   </w:t>
      </w:r>
      <w:r>
        <w:rPr>
          <w:spacing w:val="-14"/>
          <w:w w:val="95"/>
        </w:rPr>
        <w:t>水平调查的结果和在将来制定公务员薪酬待遇方面的政策。我们建议进行调查时亦可搜集私   </w:t>
      </w:r>
      <w:r>
        <w:rPr>
          <w:spacing w:val="-16"/>
          <w:w w:val="95"/>
        </w:rPr>
        <w:t>营机构现金报酬方面的政策资料，以及一些关于雇员的人口统计数据</w:t>
      </w:r>
      <w:r>
        <w:rPr>
          <w:w w:val="95"/>
        </w:rPr>
        <w:t>（如雇员的年龄</w:t>
      </w:r>
      <w:r>
        <w:rPr>
          <w:spacing w:val="-24"/>
          <w:w w:val="95"/>
        </w:rPr>
        <w:t>）</w:t>
      </w:r>
      <w:r>
        <w:rPr>
          <w:spacing w:val="-12"/>
          <w:w w:val="95"/>
        </w:rPr>
        <w:t>，以   </w:t>
      </w:r>
      <w:r>
        <w:rPr>
          <w:spacing w:val="-12"/>
        </w:rPr>
        <w:t>分析雇员的整体经验与薪酬水平的关系。</w:t>
      </w:r>
    </w:p>
    <w:p>
      <w:pPr>
        <w:pStyle w:val="BodyText"/>
        <w:spacing w:line="269" w:lineRule="exact"/>
      </w:pPr>
      <w:r>
        <w:rPr/>
        <w:t>·····</w:t>
      </w:r>
    </w:p>
    <w:p>
      <w:pPr>
        <w:pStyle w:val="ListParagraph"/>
        <w:numPr>
          <w:ilvl w:val="0"/>
          <w:numId w:val="5"/>
        </w:numPr>
        <w:tabs>
          <w:tab w:pos="640" w:val="left" w:leader="none"/>
        </w:tabs>
        <w:spacing w:line="220" w:lineRule="auto" w:before="59" w:after="0"/>
        <w:ind w:left="220" w:right="6846" w:firstLine="0"/>
        <w:jc w:val="left"/>
        <w:rPr>
          <w:b/>
          <w:sz w:val="21"/>
        </w:rPr>
      </w:pPr>
      <w:r>
        <w:rPr>
          <w:spacing w:val="-3"/>
          <w:sz w:val="21"/>
        </w:rPr>
        <w:t>搜集数据程序</w:t>
      </w:r>
      <w:r>
        <w:rPr>
          <w:rFonts w:ascii="Microsoft JhengHei" w:eastAsia="Microsoft JhengHei" w:hint="eastAsia"/>
          <w:b/>
          <w:sz w:val="21"/>
        </w:rPr>
        <w:t>摘要</w:t>
      </w:r>
    </w:p>
    <w:p>
      <w:pPr>
        <w:pStyle w:val="BodyText"/>
        <w:spacing w:line="278" w:lineRule="auto" w:before="5"/>
        <w:ind w:right="335"/>
        <w:jc w:val="both"/>
      </w:pPr>
      <w:r>
        <w:rPr>
          <w:w w:val="95"/>
        </w:rPr>
        <w:t>本章陈述在搜集数据过程中所采取的程序。这些步骤包括向可能参与调查的私营机构发出   邀请、跟进被邀请的机构所提出的询问并争取他们同意参与调查、职位配对、搜集数据、   </w:t>
      </w:r>
      <w:r>
        <w:rPr/>
        <w:t>以及核实和确认数据。</w:t>
      </w:r>
    </w:p>
    <w:p>
      <w:pPr>
        <w:pStyle w:val="Heading1"/>
        <w:spacing w:line="317" w:lineRule="exact"/>
      </w:pPr>
      <w:r>
        <w:rPr/>
        <w:pict>
          <v:shape style="position:absolute;margin-left:84.360001pt;margin-top:14.574122pt;width:426.85pt;height:109.4pt;mso-position-horizontal-relative:page;mso-position-vertical-relative:paragraph;z-index:25169100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7694"/>
                  </w:tblGrid>
                  <w:tr>
                    <w:trPr>
                      <w:trHeight w:val="720" w:hRule="atLeast"/>
                    </w:trPr>
                    <w:tc>
                      <w:tcPr>
                        <w:tcW w:w="828" w:type="dxa"/>
                      </w:tcPr>
                      <w:p>
                        <w:pPr>
                          <w:pStyle w:val="TableParagraph"/>
                          <w:spacing w:line="249" w:lineRule="auto" w:before="14"/>
                          <w:ind w:right="168"/>
                          <w:rPr>
                            <w:sz w:val="18"/>
                          </w:rPr>
                        </w:pPr>
                        <w:r>
                          <w:rPr>
                            <w:sz w:val="18"/>
                          </w:rPr>
                          <w:t>发出邀请</w:t>
                        </w:r>
                      </w:p>
                    </w:tc>
                    <w:tc>
                      <w:tcPr>
                        <w:tcW w:w="7694" w:type="dxa"/>
                      </w:tcPr>
                      <w:p>
                        <w:pPr>
                          <w:pStyle w:val="TableParagraph"/>
                          <w:spacing w:line="240" w:lineRule="atLeast" w:before="4"/>
                          <w:ind w:right="95"/>
                          <w:jc w:val="both"/>
                          <w:rPr>
                            <w:sz w:val="18"/>
                          </w:rPr>
                        </w:pPr>
                        <w:r>
                          <w:rPr>
                            <w:spacing w:val="-6"/>
                            <w:sz w:val="18"/>
                          </w:rPr>
                          <w:t>当局会发信予所有可能参与调查的私营机构，邀请它们参与调查。邀请信应提供有关调查的基本</w:t>
                        </w:r>
                        <w:r>
                          <w:rPr>
                            <w:spacing w:val="-10"/>
                            <w:sz w:val="18"/>
                          </w:rPr>
                          <w:t>资料，包括调查目的、调查范围、调查工作的时间表、希望参与调查的私营机构提供的资料，及</w:t>
                        </w:r>
                        <w:r>
                          <w:rPr>
                            <w:sz w:val="18"/>
                          </w:rPr>
                          <w:t>调查顾问的联络资料。</w:t>
                        </w:r>
                      </w:p>
                    </w:tc>
                  </w:tr>
                  <w:tr>
                    <w:trPr>
                      <w:trHeight w:val="244" w:hRule="atLeast"/>
                    </w:trPr>
                    <w:tc>
                      <w:tcPr>
                        <w:tcW w:w="828" w:type="dxa"/>
                        <w:tcBorders>
                          <w:bottom w:val="nil"/>
                        </w:tcBorders>
                      </w:tcPr>
                      <w:p>
                        <w:pPr>
                          <w:pStyle w:val="TableParagraph"/>
                          <w:spacing w:line="215" w:lineRule="exact" w:before="9"/>
                          <w:rPr>
                            <w:sz w:val="18"/>
                          </w:rPr>
                        </w:pPr>
                        <w:r>
                          <w:rPr>
                            <w:sz w:val="18"/>
                          </w:rPr>
                          <w:t>确认参</w:t>
                        </w:r>
                      </w:p>
                    </w:tc>
                    <w:tc>
                      <w:tcPr>
                        <w:tcW w:w="7694" w:type="dxa"/>
                        <w:tcBorders>
                          <w:bottom w:val="nil"/>
                        </w:tcBorders>
                      </w:tcPr>
                      <w:p>
                        <w:pPr>
                          <w:pStyle w:val="TableParagraph"/>
                          <w:spacing w:line="215" w:lineRule="exact" w:before="9"/>
                          <w:rPr>
                            <w:sz w:val="18"/>
                          </w:rPr>
                        </w:pPr>
                        <w:r>
                          <w:rPr>
                            <w:sz w:val="18"/>
                          </w:rPr>
                          <w:t>调查顾问会联络每一间获邀请的机构，解答对方关于调查的询问，并鼓励他们参与调查。调查顾</w:t>
                        </w:r>
                      </w:p>
                    </w:tc>
                  </w:tr>
                  <w:tr>
                    <w:trPr>
                      <w:trHeight w:val="240" w:hRule="atLeast"/>
                    </w:trPr>
                    <w:tc>
                      <w:tcPr>
                        <w:tcW w:w="828" w:type="dxa"/>
                        <w:tcBorders>
                          <w:top w:val="nil"/>
                          <w:bottom w:val="nil"/>
                        </w:tcBorders>
                      </w:tcPr>
                      <w:p>
                        <w:pPr>
                          <w:pStyle w:val="TableParagraph"/>
                          <w:spacing w:line="215" w:lineRule="exact" w:before="4"/>
                          <w:rPr>
                            <w:sz w:val="18"/>
                          </w:rPr>
                        </w:pPr>
                        <w:r>
                          <w:rPr>
                            <w:sz w:val="18"/>
                          </w:rPr>
                          <w:t>与调查</w:t>
                        </w:r>
                      </w:p>
                    </w:tc>
                    <w:tc>
                      <w:tcPr>
                        <w:tcW w:w="7694" w:type="dxa"/>
                        <w:tcBorders>
                          <w:top w:val="nil"/>
                          <w:bottom w:val="nil"/>
                        </w:tcBorders>
                      </w:tcPr>
                      <w:p>
                        <w:pPr>
                          <w:pStyle w:val="TableParagraph"/>
                          <w:spacing w:line="215" w:lineRule="exact" w:before="4"/>
                          <w:rPr>
                            <w:sz w:val="18"/>
                          </w:rPr>
                        </w:pPr>
                        <w:r>
                          <w:rPr>
                            <w:sz w:val="18"/>
                          </w:rPr>
                          <w:t>问亦应确保所有参与调查的机构具备纳入调查范围的资格（即这些机构的薪酬水平是根据香港的</w:t>
                        </w:r>
                      </w:p>
                    </w:tc>
                  </w:tr>
                  <w:tr>
                    <w:trPr>
                      <w:trHeight w:val="240" w:hRule="atLeast"/>
                    </w:trPr>
                    <w:tc>
                      <w:tcPr>
                        <w:tcW w:w="828" w:type="dxa"/>
                        <w:tcBorders>
                          <w:top w:val="nil"/>
                          <w:bottom w:val="nil"/>
                        </w:tcBorders>
                      </w:tcPr>
                      <w:p>
                        <w:pPr>
                          <w:pStyle w:val="TableParagraph"/>
                          <w:ind w:left="0"/>
                          <w:rPr>
                            <w:rFonts w:ascii="Times New Roman"/>
                            <w:sz w:val="16"/>
                          </w:rPr>
                        </w:pPr>
                      </w:p>
                    </w:tc>
                    <w:tc>
                      <w:tcPr>
                        <w:tcW w:w="7694" w:type="dxa"/>
                        <w:tcBorders>
                          <w:top w:val="nil"/>
                          <w:bottom w:val="nil"/>
                        </w:tcBorders>
                      </w:tcPr>
                      <w:p>
                        <w:pPr>
                          <w:pStyle w:val="TableParagraph"/>
                          <w:spacing w:line="215" w:lineRule="exact" w:before="4"/>
                          <w:rPr>
                            <w:sz w:val="18"/>
                          </w:rPr>
                        </w:pPr>
                        <w:r>
                          <w:rPr>
                            <w:sz w:val="18"/>
                          </w:rPr>
                          <w:t>情况而厘定等）。有兴趣参与调查的机构会被要求提供相关资料，包括员工人数、机构内是否设</w:t>
                        </w:r>
                      </w:p>
                    </w:tc>
                  </w:tr>
                  <w:tr>
                    <w:trPr>
                      <w:trHeight w:val="240" w:hRule="atLeast"/>
                    </w:trPr>
                    <w:tc>
                      <w:tcPr>
                        <w:tcW w:w="828" w:type="dxa"/>
                        <w:tcBorders>
                          <w:top w:val="nil"/>
                          <w:bottom w:val="nil"/>
                        </w:tcBorders>
                      </w:tcPr>
                      <w:p>
                        <w:pPr>
                          <w:pStyle w:val="TableParagraph"/>
                          <w:ind w:left="0"/>
                          <w:rPr>
                            <w:rFonts w:ascii="Times New Roman"/>
                            <w:sz w:val="16"/>
                          </w:rPr>
                        </w:pPr>
                      </w:p>
                    </w:tc>
                    <w:tc>
                      <w:tcPr>
                        <w:tcW w:w="7694" w:type="dxa"/>
                        <w:tcBorders>
                          <w:top w:val="nil"/>
                          <w:bottom w:val="nil"/>
                        </w:tcBorders>
                      </w:tcPr>
                      <w:p>
                        <w:pPr>
                          <w:pStyle w:val="TableParagraph"/>
                          <w:spacing w:line="215" w:lineRule="exact" w:before="4"/>
                          <w:rPr>
                            <w:sz w:val="18"/>
                          </w:rPr>
                        </w:pPr>
                        <w:r>
                          <w:rPr>
                            <w:sz w:val="18"/>
                          </w:rPr>
                          <w:t>有与纳入调查范围内的比较职位的描述相符的职位，以及这些职位应纳入哪个职位属系内、机构</w:t>
                        </w:r>
                      </w:p>
                    </w:tc>
                  </w:tr>
                  <w:tr>
                    <w:trPr>
                      <w:trHeight w:val="240" w:hRule="atLeast"/>
                    </w:trPr>
                    <w:tc>
                      <w:tcPr>
                        <w:tcW w:w="828" w:type="dxa"/>
                        <w:tcBorders>
                          <w:top w:val="nil"/>
                          <w:bottom w:val="nil"/>
                        </w:tcBorders>
                      </w:tcPr>
                      <w:p>
                        <w:pPr>
                          <w:pStyle w:val="TableParagraph"/>
                          <w:ind w:left="0"/>
                          <w:rPr>
                            <w:rFonts w:ascii="Times New Roman"/>
                            <w:sz w:val="16"/>
                          </w:rPr>
                        </w:pPr>
                      </w:p>
                    </w:tc>
                    <w:tc>
                      <w:tcPr>
                        <w:tcW w:w="7694" w:type="dxa"/>
                        <w:tcBorders>
                          <w:top w:val="nil"/>
                          <w:bottom w:val="nil"/>
                        </w:tcBorders>
                      </w:tcPr>
                      <w:p>
                        <w:pPr>
                          <w:pStyle w:val="TableParagraph"/>
                          <w:spacing w:line="215" w:lineRule="exact" w:before="4"/>
                          <w:rPr>
                            <w:sz w:val="18"/>
                          </w:rPr>
                        </w:pPr>
                        <w:r>
                          <w:rPr>
                            <w:sz w:val="18"/>
                          </w:rPr>
                          <w:t>的薪酬政策及聘用政策等，以确保这些机构符合所有有关的拣选准则。调查顾问随后会通知未能</w:t>
                        </w:r>
                      </w:p>
                    </w:tc>
                  </w:tr>
                  <w:tr>
                    <w:trPr>
                      <w:trHeight w:val="229" w:hRule="atLeast"/>
                    </w:trPr>
                    <w:tc>
                      <w:tcPr>
                        <w:tcW w:w="828" w:type="dxa"/>
                        <w:tcBorders>
                          <w:top w:val="nil"/>
                        </w:tcBorders>
                      </w:tcPr>
                      <w:p>
                        <w:pPr>
                          <w:pStyle w:val="TableParagraph"/>
                          <w:ind w:left="0"/>
                          <w:rPr>
                            <w:rFonts w:ascii="Times New Roman"/>
                            <w:sz w:val="16"/>
                          </w:rPr>
                        </w:pPr>
                      </w:p>
                    </w:tc>
                    <w:tc>
                      <w:tcPr>
                        <w:tcW w:w="7694" w:type="dxa"/>
                        <w:tcBorders>
                          <w:top w:val="nil"/>
                        </w:tcBorders>
                      </w:tcPr>
                      <w:p>
                        <w:pPr>
                          <w:pStyle w:val="TableParagraph"/>
                          <w:spacing w:line="204" w:lineRule="exact" w:before="4"/>
                          <w:rPr>
                            <w:sz w:val="18"/>
                          </w:rPr>
                        </w:pPr>
                        <w:r>
                          <w:rPr>
                            <w:sz w:val="18"/>
                          </w:rPr>
                          <w:t>符合规定准则的机构毋需参与调查。</w:t>
                        </w:r>
                      </w:p>
                    </w:tc>
                  </w:tr>
                </w:tbl>
                <w:p>
                  <w:pPr>
                    <w:pStyle w:val="BodyText"/>
                    <w:ind w:left="0"/>
                  </w:pPr>
                </w:p>
              </w:txbxContent>
            </v:textbox>
            <w10:wrap type="none"/>
          </v:shape>
        </w:pict>
      </w:r>
      <w:r>
        <w:rPr/>
        <w:t>搜集数据程序总览表</w:t>
      </w:r>
    </w:p>
    <w:p>
      <w:pPr>
        <w:spacing w:after="0" w:line="317" w:lineRule="exact"/>
        <w:sectPr>
          <w:pgSz w:w="11910" w:h="16840"/>
          <w:pgMar w:header="852" w:footer="1829" w:top="1820" w:bottom="2020" w:left="1580" w:right="1580"/>
        </w:sectPr>
      </w:pPr>
    </w:p>
    <w:p>
      <w:pPr>
        <w:pStyle w:val="BodyText"/>
        <w:spacing w:before="12"/>
        <w:ind w:left="0"/>
        <w:rPr>
          <w:rFonts w:ascii="Microsoft JhengHei"/>
          <w:b/>
          <w:sz w:val="3"/>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7694"/>
      </w:tblGrid>
      <w:tr>
        <w:trPr>
          <w:trHeight w:val="248" w:hRule="atLeast"/>
        </w:trPr>
        <w:tc>
          <w:tcPr>
            <w:tcW w:w="828" w:type="dxa"/>
            <w:tcBorders>
              <w:bottom w:val="nil"/>
            </w:tcBorders>
          </w:tcPr>
          <w:p>
            <w:pPr>
              <w:pStyle w:val="TableParagraph"/>
              <w:spacing w:line="215" w:lineRule="exact" w:before="13"/>
              <w:rPr>
                <w:sz w:val="18"/>
              </w:rPr>
            </w:pPr>
            <w:r>
              <w:rPr>
                <w:sz w:val="18"/>
              </w:rPr>
              <w:t>配对职</w:t>
            </w:r>
          </w:p>
        </w:tc>
        <w:tc>
          <w:tcPr>
            <w:tcW w:w="7694" w:type="dxa"/>
            <w:tcBorders>
              <w:bottom w:val="nil"/>
            </w:tcBorders>
          </w:tcPr>
          <w:p>
            <w:pPr>
              <w:pStyle w:val="TableParagraph"/>
              <w:spacing w:line="215" w:lineRule="exact" w:before="13"/>
              <w:rPr>
                <w:sz w:val="18"/>
              </w:rPr>
            </w:pPr>
            <w:r>
              <w:rPr>
                <w:sz w:val="18"/>
              </w:rPr>
              <w:t>职责说明书手册连同一套搜集数据的文件（见下文“搜集数据”部分）将一并送交每间已确认会</w:t>
            </w:r>
          </w:p>
        </w:tc>
      </w:tr>
      <w:tr>
        <w:trPr>
          <w:trHeight w:val="240" w:hRule="atLeast"/>
        </w:trPr>
        <w:tc>
          <w:tcPr>
            <w:tcW w:w="828" w:type="dxa"/>
            <w:tcBorders>
              <w:top w:val="nil"/>
              <w:bottom w:val="nil"/>
            </w:tcBorders>
          </w:tcPr>
          <w:p>
            <w:pPr>
              <w:pStyle w:val="TableParagraph"/>
              <w:spacing w:line="215" w:lineRule="exact" w:before="4"/>
              <w:rPr>
                <w:sz w:val="18"/>
              </w:rPr>
            </w:pPr>
            <w:r>
              <w:rPr>
                <w:sz w:val="18"/>
              </w:rPr>
              <w:t>位及确</w:t>
            </w:r>
          </w:p>
        </w:tc>
        <w:tc>
          <w:tcPr>
            <w:tcW w:w="7694" w:type="dxa"/>
            <w:tcBorders>
              <w:top w:val="nil"/>
              <w:bottom w:val="nil"/>
            </w:tcBorders>
          </w:tcPr>
          <w:p>
            <w:pPr>
              <w:pStyle w:val="TableParagraph"/>
              <w:spacing w:line="215" w:lineRule="exact" w:before="4"/>
              <w:rPr>
                <w:sz w:val="18"/>
              </w:rPr>
            </w:pPr>
            <w:r>
              <w:rPr>
                <w:sz w:val="18"/>
              </w:rPr>
              <w:t>参与调查的机构。参与调查的机构的代表会研究有关职责说明书，并初步找出可作配对的职位。</w:t>
            </w:r>
          </w:p>
        </w:tc>
      </w:tr>
      <w:tr>
        <w:trPr>
          <w:trHeight w:val="240" w:hRule="atLeast"/>
        </w:trPr>
        <w:tc>
          <w:tcPr>
            <w:tcW w:w="828" w:type="dxa"/>
            <w:tcBorders>
              <w:top w:val="nil"/>
              <w:bottom w:val="nil"/>
            </w:tcBorders>
          </w:tcPr>
          <w:p>
            <w:pPr>
              <w:pStyle w:val="TableParagraph"/>
              <w:spacing w:line="215" w:lineRule="exact" w:before="4"/>
              <w:rPr>
                <w:sz w:val="18"/>
              </w:rPr>
            </w:pPr>
            <w:r>
              <w:rPr>
                <w:sz w:val="18"/>
              </w:rPr>
              <w:t>认所作</w:t>
            </w:r>
          </w:p>
        </w:tc>
        <w:tc>
          <w:tcPr>
            <w:tcW w:w="7694" w:type="dxa"/>
            <w:tcBorders>
              <w:top w:val="nil"/>
              <w:bottom w:val="nil"/>
            </w:tcBorders>
          </w:tcPr>
          <w:p>
            <w:pPr>
              <w:pStyle w:val="TableParagraph"/>
              <w:spacing w:line="215" w:lineRule="exact" w:before="4"/>
              <w:rPr>
                <w:sz w:val="18"/>
              </w:rPr>
            </w:pPr>
            <w:r>
              <w:rPr>
                <w:sz w:val="18"/>
              </w:rPr>
              <w:t>调查顾问会与每间参与调查的机构代表会面，确认配对职位。调查顾问会因应机构的响应检视有</w:t>
            </w:r>
          </w:p>
        </w:tc>
      </w:tr>
      <w:tr>
        <w:trPr>
          <w:trHeight w:val="240" w:hRule="atLeast"/>
        </w:trPr>
        <w:tc>
          <w:tcPr>
            <w:tcW w:w="828" w:type="dxa"/>
            <w:tcBorders>
              <w:top w:val="nil"/>
              <w:bottom w:val="nil"/>
            </w:tcBorders>
          </w:tcPr>
          <w:p>
            <w:pPr>
              <w:pStyle w:val="TableParagraph"/>
              <w:spacing w:line="215" w:lineRule="exact" w:before="4"/>
              <w:rPr>
                <w:sz w:val="18"/>
              </w:rPr>
            </w:pPr>
            <w:r>
              <w:rPr>
                <w:sz w:val="18"/>
              </w:rPr>
              <w:t>配对</w:t>
            </w:r>
          </w:p>
        </w:tc>
        <w:tc>
          <w:tcPr>
            <w:tcW w:w="7694" w:type="dxa"/>
            <w:tcBorders>
              <w:top w:val="nil"/>
              <w:bottom w:val="nil"/>
            </w:tcBorders>
          </w:tcPr>
          <w:p>
            <w:pPr>
              <w:pStyle w:val="TableParagraph"/>
              <w:spacing w:line="215" w:lineRule="exact" w:before="4"/>
              <w:rPr>
                <w:sz w:val="18"/>
              </w:rPr>
            </w:pPr>
            <w:r>
              <w:rPr>
                <w:sz w:val="18"/>
              </w:rPr>
              <w:t>关职责说明书是否能有效地协助机构选取比较职位，并告知参与调查机构对职责说明书提出的修</w:t>
            </w:r>
          </w:p>
        </w:tc>
      </w:tr>
      <w:tr>
        <w:trPr>
          <w:trHeight w:val="240" w:hRule="atLeast"/>
        </w:trPr>
        <w:tc>
          <w:tcPr>
            <w:tcW w:w="828" w:type="dxa"/>
            <w:tcBorders>
              <w:top w:val="nil"/>
              <w:bottom w:val="nil"/>
            </w:tcBorders>
          </w:tcPr>
          <w:p>
            <w:pPr>
              <w:pStyle w:val="TableParagraph"/>
              <w:ind w:left="0"/>
              <w:rPr>
                <w:rFonts w:ascii="Times New Roman"/>
                <w:sz w:val="16"/>
              </w:rPr>
            </w:pPr>
          </w:p>
        </w:tc>
        <w:tc>
          <w:tcPr>
            <w:tcW w:w="7694" w:type="dxa"/>
            <w:tcBorders>
              <w:top w:val="nil"/>
              <w:bottom w:val="nil"/>
            </w:tcBorders>
          </w:tcPr>
          <w:p>
            <w:pPr>
              <w:pStyle w:val="TableParagraph"/>
              <w:spacing w:line="215" w:lineRule="exact" w:before="4"/>
              <w:rPr>
                <w:sz w:val="18"/>
              </w:rPr>
            </w:pPr>
            <w:r>
              <w:rPr>
                <w:sz w:val="18"/>
              </w:rPr>
              <w:t>改。顾问会研究有关机构提供的职责说明书、职级架构、资历及其它要求、机构架构等资料，以</w:t>
            </w:r>
          </w:p>
        </w:tc>
      </w:tr>
      <w:tr>
        <w:trPr>
          <w:trHeight w:val="240" w:hRule="atLeast"/>
        </w:trPr>
        <w:tc>
          <w:tcPr>
            <w:tcW w:w="828" w:type="dxa"/>
            <w:tcBorders>
              <w:top w:val="nil"/>
              <w:bottom w:val="nil"/>
            </w:tcBorders>
          </w:tcPr>
          <w:p>
            <w:pPr>
              <w:pStyle w:val="TableParagraph"/>
              <w:ind w:left="0"/>
              <w:rPr>
                <w:rFonts w:ascii="Times New Roman"/>
                <w:sz w:val="16"/>
              </w:rPr>
            </w:pPr>
          </w:p>
        </w:tc>
        <w:tc>
          <w:tcPr>
            <w:tcW w:w="7694" w:type="dxa"/>
            <w:tcBorders>
              <w:top w:val="nil"/>
              <w:bottom w:val="nil"/>
            </w:tcBorders>
          </w:tcPr>
          <w:p>
            <w:pPr>
              <w:pStyle w:val="TableParagraph"/>
              <w:spacing w:line="215" w:lineRule="exact" w:before="4"/>
              <w:rPr>
                <w:sz w:val="18"/>
              </w:rPr>
            </w:pPr>
            <w:r>
              <w:rPr>
                <w:sz w:val="18"/>
              </w:rPr>
              <w:t>助确定参与调查机构的职位与公务员比较职位可作配对。调查顾问亦应与参与调查的私营机构确</w:t>
            </w:r>
          </w:p>
        </w:tc>
      </w:tr>
      <w:tr>
        <w:trPr>
          <w:trHeight w:val="240" w:hRule="atLeast"/>
        </w:trPr>
        <w:tc>
          <w:tcPr>
            <w:tcW w:w="828" w:type="dxa"/>
            <w:tcBorders>
              <w:top w:val="nil"/>
              <w:bottom w:val="nil"/>
            </w:tcBorders>
          </w:tcPr>
          <w:p>
            <w:pPr>
              <w:pStyle w:val="TableParagraph"/>
              <w:ind w:left="0"/>
              <w:rPr>
                <w:rFonts w:ascii="Times New Roman"/>
                <w:sz w:val="16"/>
              </w:rPr>
            </w:pPr>
          </w:p>
        </w:tc>
        <w:tc>
          <w:tcPr>
            <w:tcW w:w="7694" w:type="dxa"/>
            <w:tcBorders>
              <w:top w:val="nil"/>
              <w:bottom w:val="nil"/>
            </w:tcBorders>
          </w:tcPr>
          <w:p>
            <w:pPr>
              <w:pStyle w:val="TableParagraph"/>
              <w:spacing w:line="215" w:lineRule="exact" w:before="4"/>
              <w:rPr>
                <w:sz w:val="18"/>
              </w:rPr>
            </w:pPr>
            <w:r>
              <w:rPr>
                <w:sz w:val="18"/>
              </w:rPr>
              <w:t>认每一个比较职位在各方面都适当地与职责说明书相符。至于公务员比较职位方面，我们亦建议</w:t>
            </w:r>
          </w:p>
        </w:tc>
      </w:tr>
      <w:tr>
        <w:trPr>
          <w:trHeight w:val="240" w:hRule="atLeast"/>
        </w:trPr>
        <w:tc>
          <w:tcPr>
            <w:tcW w:w="828" w:type="dxa"/>
            <w:tcBorders>
              <w:top w:val="nil"/>
              <w:bottom w:val="nil"/>
            </w:tcBorders>
          </w:tcPr>
          <w:p>
            <w:pPr>
              <w:pStyle w:val="TableParagraph"/>
              <w:ind w:left="0"/>
              <w:rPr>
                <w:rFonts w:ascii="Times New Roman"/>
                <w:sz w:val="16"/>
              </w:rPr>
            </w:pPr>
          </w:p>
        </w:tc>
        <w:tc>
          <w:tcPr>
            <w:tcW w:w="7694" w:type="dxa"/>
            <w:tcBorders>
              <w:top w:val="nil"/>
              <w:bottom w:val="nil"/>
            </w:tcBorders>
          </w:tcPr>
          <w:p>
            <w:pPr>
              <w:pStyle w:val="TableParagraph"/>
              <w:spacing w:line="215" w:lineRule="exact" w:before="4"/>
              <w:rPr>
                <w:sz w:val="18"/>
              </w:rPr>
            </w:pPr>
            <w:r>
              <w:rPr>
                <w:sz w:val="18"/>
              </w:rPr>
              <w:t>应该为这些职位按第III 章内所述进行职位检视工作，以确定有关职位的工作性质及工作要求，</w:t>
            </w:r>
          </w:p>
        </w:tc>
      </w:tr>
      <w:tr>
        <w:trPr>
          <w:trHeight w:val="240" w:hRule="atLeast"/>
        </w:trPr>
        <w:tc>
          <w:tcPr>
            <w:tcW w:w="828" w:type="dxa"/>
            <w:tcBorders>
              <w:top w:val="nil"/>
              <w:bottom w:val="nil"/>
            </w:tcBorders>
          </w:tcPr>
          <w:p>
            <w:pPr>
              <w:pStyle w:val="TableParagraph"/>
              <w:ind w:left="0"/>
              <w:rPr>
                <w:rFonts w:ascii="Times New Roman"/>
                <w:sz w:val="16"/>
              </w:rPr>
            </w:pPr>
          </w:p>
        </w:tc>
        <w:tc>
          <w:tcPr>
            <w:tcW w:w="7694" w:type="dxa"/>
            <w:tcBorders>
              <w:top w:val="nil"/>
              <w:bottom w:val="nil"/>
            </w:tcBorders>
          </w:tcPr>
          <w:p>
            <w:pPr>
              <w:pStyle w:val="TableParagraph"/>
              <w:spacing w:line="215" w:lineRule="exact" w:before="4"/>
              <w:rPr>
                <w:sz w:val="18"/>
              </w:rPr>
            </w:pPr>
            <w:r>
              <w:rPr>
                <w:sz w:val="18"/>
              </w:rPr>
              <w:t>使职位配对能够妥当地进行。</w:t>
            </w:r>
          </w:p>
        </w:tc>
      </w:tr>
      <w:tr>
        <w:trPr>
          <w:trHeight w:val="240" w:hRule="atLeast"/>
        </w:trPr>
        <w:tc>
          <w:tcPr>
            <w:tcW w:w="828" w:type="dxa"/>
            <w:tcBorders>
              <w:top w:val="nil"/>
              <w:bottom w:val="nil"/>
            </w:tcBorders>
          </w:tcPr>
          <w:p>
            <w:pPr>
              <w:pStyle w:val="TableParagraph"/>
              <w:ind w:left="0"/>
              <w:rPr>
                <w:rFonts w:ascii="Times New Roman"/>
                <w:sz w:val="16"/>
              </w:rPr>
            </w:pPr>
          </w:p>
        </w:tc>
        <w:tc>
          <w:tcPr>
            <w:tcW w:w="7694" w:type="dxa"/>
            <w:tcBorders>
              <w:top w:val="nil"/>
              <w:bottom w:val="nil"/>
            </w:tcBorders>
          </w:tcPr>
          <w:p>
            <w:pPr>
              <w:pStyle w:val="TableParagraph"/>
              <w:spacing w:line="215" w:lineRule="exact" w:before="4"/>
              <w:rPr>
                <w:sz w:val="18"/>
              </w:rPr>
            </w:pPr>
            <w:r>
              <w:rPr>
                <w:sz w:val="18"/>
              </w:rPr>
              <w:t>调查顾问亦会为某些职位进行一系列的内部职位确认程序。这些程序包括将每间私营机构所选取</w:t>
            </w:r>
          </w:p>
        </w:tc>
      </w:tr>
      <w:tr>
        <w:trPr>
          <w:trHeight w:val="240" w:hRule="atLeast"/>
        </w:trPr>
        <w:tc>
          <w:tcPr>
            <w:tcW w:w="828" w:type="dxa"/>
            <w:tcBorders>
              <w:top w:val="nil"/>
              <w:bottom w:val="nil"/>
            </w:tcBorders>
          </w:tcPr>
          <w:p>
            <w:pPr>
              <w:pStyle w:val="TableParagraph"/>
              <w:ind w:left="0"/>
              <w:rPr>
                <w:rFonts w:ascii="Times New Roman"/>
                <w:sz w:val="16"/>
              </w:rPr>
            </w:pPr>
          </w:p>
        </w:tc>
        <w:tc>
          <w:tcPr>
            <w:tcW w:w="7694" w:type="dxa"/>
            <w:tcBorders>
              <w:top w:val="nil"/>
              <w:bottom w:val="nil"/>
            </w:tcBorders>
          </w:tcPr>
          <w:p>
            <w:pPr>
              <w:pStyle w:val="TableParagraph"/>
              <w:spacing w:line="215" w:lineRule="exact" w:before="4"/>
              <w:rPr>
                <w:sz w:val="18"/>
              </w:rPr>
            </w:pPr>
            <w:r>
              <w:rPr>
                <w:sz w:val="18"/>
              </w:rPr>
              <w:t>的配对职位作比较，以确保配对具一致性。如果需要对职位配对作出调整的话，调查顾问应与有</w:t>
            </w:r>
          </w:p>
        </w:tc>
      </w:tr>
      <w:tr>
        <w:trPr>
          <w:trHeight w:val="231" w:hRule="atLeast"/>
        </w:trPr>
        <w:tc>
          <w:tcPr>
            <w:tcW w:w="828" w:type="dxa"/>
            <w:tcBorders>
              <w:top w:val="nil"/>
            </w:tcBorders>
          </w:tcPr>
          <w:p>
            <w:pPr>
              <w:pStyle w:val="TableParagraph"/>
              <w:ind w:left="0"/>
              <w:rPr>
                <w:rFonts w:ascii="Times New Roman"/>
                <w:sz w:val="16"/>
              </w:rPr>
            </w:pPr>
          </w:p>
        </w:tc>
        <w:tc>
          <w:tcPr>
            <w:tcW w:w="7694" w:type="dxa"/>
            <w:tcBorders>
              <w:top w:val="nil"/>
            </w:tcBorders>
          </w:tcPr>
          <w:p>
            <w:pPr>
              <w:pStyle w:val="TableParagraph"/>
              <w:spacing w:line="206" w:lineRule="exact" w:before="4"/>
              <w:rPr>
                <w:sz w:val="18"/>
              </w:rPr>
            </w:pPr>
            <w:r>
              <w:rPr>
                <w:sz w:val="18"/>
              </w:rPr>
              <w:t>关的参与调查机构确定修改的细节。</w:t>
            </w:r>
          </w:p>
        </w:tc>
      </w:tr>
      <w:tr>
        <w:trPr>
          <w:trHeight w:val="248" w:hRule="atLeast"/>
        </w:trPr>
        <w:tc>
          <w:tcPr>
            <w:tcW w:w="828" w:type="dxa"/>
            <w:tcBorders>
              <w:bottom w:val="nil"/>
            </w:tcBorders>
          </w:tcPr>
          <w:p>
            <w:pPr>
              <w:pStyle w:val="TableParagraph"/>
              <w:spacing w:line="215" w:lineRule="exact" w:before="13"/>
              <w:rPr>
                <w:sz w:val="18"/>
              </w:rPr>
            </w:pPr>
            <w:r>
              <w:rPr>
                <w:sz w:val="18"/>
              </w:rPr>
              <w:t>搜集数</w:t>
            </w:r>
          </w:p>
        </w:tc>
        <w:tc>
          <w:tcPr>
            <w:tcW w:w="7694" w:type="dxa"/>
            <w:tcBorders>
              <w:bottom w:val="nil"/>
            </w:tcBorders>
          </w:tcPr>
          <w:p>
            <w:pPr>
              <w:pStyle w:val="TableParagraph"/>
              <w:spacing w:line="215" w:lineRule="exact" w:before="13"/>
              <w:rPr>
                <w:sz w:val="18"/>
              </w:rPr>
            </w:pPr>
            <w:r>
              <w:rPr>
                <w:sz w:val="18"/>
              </w:rPr>
              <w:t>送交参与调查机构的一套数据搜集文件包括数据表、问卷、其他数据输入计算机程序、连同填报</w:t>
            </w:r>
          </w:p>
        </w:tc>
      </w:tr>
      <w:tr>
        <w:trPr>
          <w:trHeight w:val="240" w:hRule="atLeast"/>
        </w:trPr>
        <w:tc>
          <w:tcPr>
            <w:tcW w:w="828" w:type="dxa"/>
            <w:tcBorders>
              <w:top w:val="nil"/>
              <w:bottom w:val="nil"/>
            </w:tcBorders>
          </w:tcPr>
          <w:p>
            <w:pPr>
              <w:pStyle w:val="TableParagraph"/>
              <w:spacing w:line="215" w:lineRule="exact" w:before="4"/>
              <w:rPr>
                <w:sz w:val="18"/>
              </w:rPr>
            </w:pPr>
            <w:r>
              <w:rPr>
                <w:sz w:val="18"/>
              </w:rPr>
              <w:t>据</w:t>
            </w:r>
          </w:p>
        </w:tc>
        <w:tc>
          <w:tcPr>
            <w:tcW w:w="7694" w:type="dxa"/>
            <w:tcBorders>
              <w:top w:val="nil"/>
              <w:bottom w:val="nil"/>
            </w:tcBorders>
          </w:tcPr>
          <w:p>
            <w:pPr>
              <w:pStyle w:val="TableParagraph"/>
              <w:spacing w:line="215" w:lineRule="exact" w:before="4"/>
              <w:rPr>
                <w:sz w:val="18"/>
              </w:rPr>
            </w:pPr>
            <w:r>
              <w:rPr>
                <w:sz w:val="18"/>
              </w:rPr>
              <w:t>及递交数据的指引。调查顾问将研究每间参与调查机构所有相关的报酬组成部分，以确定进行调</w:t>
            </w:r>
          </w:p>
        </w:tc>
      </w:tr>
      <w:tr>
        <w:trPr>
          <w:trHeight w:val="240" w:hRule="atLeast"/>
        </w:trPr>
        <w:tc>
          <w:tcPr>
            <w:tcW w:w="828" w:type="dxa"/>
            <w:tcBorders>
              <w:top w:val="nil"/>
              <w:bottom w:val="nil"/>
            </w:tcBorders>
          </w:tcPr>
          <w:p>
            <w:pPr>
              <w:pStyle w:val="TableParagraph"/>
              <w:ind w:left="0"/>
              <w:rPr>
                <w:rFonts w:ascii="Times New Roman"/>
                <w:sz w:val="16"/>
              </w:rPr>
            </w:pPr>
          </w:p>
        </w:tc>
        <w:tc>
          <w:tcPr>
            <w:tcW w:w="7694" w:type="dxa"/>
            <w:tcBorders>
              <w:top w:val="nil"/>
              <w:bottom w:val="nil"/>
            </w:tcBorders>
          </w:tcPr>
          <w:p>
            <w:pPr>
              <w:pStyle w:val="TableParagraph"/>
              <w:spacing w:line="215" w:lineRule="exact" w:before="4"/>
              <w:rPr>
                <w:sz w:val="18"/>
              </w:rPr>
            </w:pPr>
            <w:r>
              <w:rPr>
                <w:sz w:val="18"/>
              </w:rPr>
              <w:t>查时是否应将有关资料计算在内。调查顾问将就填写有关员工福利资料的问卷对机构提供协助，</w:t>
            </w:r>
          </w:p>
        </w:tc>
      </w:tr>
      <w:tr>
        <w:trPr>
          <w:trHeight w:val="231" w:hRule="atLeast"/>
        </w:trPr>
        <w:tc>
          <w:tcPr>
            <w:tcW w:w="828" w:type="dxa"/>
            <w:tcBorders>
              <w:top w:val="nil"/>
            </w:tcBorders>
          </w:tcPr>
          <w:p>
            <w:pPr>
              <w:pStyle w:val="TableParagraph"/>
              <w:ind w:left="0"/>
              <w:rPr>
                <w:rFonts w:ascii="Times New Roman"/>
                <w:sz w:val="16"/>
              </w:rPr>
            </w:pPr>
          </w:p>
        </w:tc>
        <w:tc>
          <w:tcPr>
            <w:tcW w:w="7694" w:type="dxa"/>
            <w:tcBorders>
              <w:top w:val="nil"/>
            </w:tcBorders>
          </w:tcPr>
          <w:p>
            <w:pPr>
              <w:pStyle w:val="TableParagraph"/>
              <w:spacing w:line="207" w:lineRule="exact" w:before="4"/>
              <w:rPr>
                <w:sz w:val="18"/>
              </w:rPr>
            </w:pPr>
            <w:r>
              <w:rPr>
                <w:sz w:val="18"/>
              </w:rPr>
              <w:t>以确保所有问卷以同一方法填报。</w:t>
            </w:r>
          </w:p>
        </w:tc>
      </w:tr>
      <w:tr>
        <w:trPr>
          <w:trHeight w:val="248" w:hRule="atLeast"/>
        </w:trPr>
        <w:tc>
          <w:tcPr>
            <w:tcW w:w="828" w:type="dxa"/>
            <w:tcBorders>
              <w:bottom w:val="nil"/>
            </w:tcBorders>
          </w:tcPr>
          <w:p>
            <w:pPr>
              <w:pStyle w:val="TableParagraph"/>
              <w:spacing w:line="216" w:lineRule="exact" w:before="13"/>
              <w:rPr>
                <w:sz w:val="18"/>
              </w:rPr>
            </w:pPr>
            <w:r>
              <w:rPr>
                <w:sz w:val="18"/>
              </w:rPr>
              <w:t>核实及</w:t>
            </w:r>
          </w:p>
        </w:tc>
        <w:tc>
          <w:tcPr>
            <w:tcW w:w="7694" w:type="dxa"/>
            <w:tcBorders>
              <w:bottom w:val="nil"/>
            </w:tcBorders>
          </w:tcPr>
          <w:p>
            <w:pPr>
              <w:pStyle w:val="TableParagraph"/>
              <w:spacing w:line="229" w:lineRule="exact"/>
              <w:rPr>
                <w:sz w:val="18"/>
              </w:rPr>
            </w:pPr>
            <w:r>
              <w:rPr>
                <w:sz w:val="18"/>
              </w:rPr>
              <w:t>这步骤包括进行一连串的程序，以核实数据是否完整（例如</w:t>
            </w:r>
            <w:r>
              <w:rPr>
                <w:rFonts w:ascii="方正姚体" w:eastAsia="方正姚体" w:hint="eastAsia"/>
                <w:sz w:val="18"/>
              </w:rPr>
              <w:t>︰</w:t>
            </w:r>
            <w:r>
              <w:rPr>
                <w:sz w:val="18"/>
              </w:rPr>
              <w:t>是否已就所有在职者提供齐全的已</w:t>
            </w:r>
          </w:p>
        </w:tc>
      </w:tr>
      <w:tr>
        <w:trPr>
          <w:trHeight w:val="239" w:hRule="atLeast"/>
        </w:trPr>
        <w:tc>
          <w:tcPr>
            <w:tcW w:w="828" w:type="dxa"/>
            <w:tcBorders>
              <w:top w:val="nil"/>
              <w:bottom w:val="nil"/>
            </w:tcBorders>
          </w:tcPr>
          <w:p>
            <w:pPr>
              <w:pStyle w:val="TableParagraph"/>
              <w:spacing w:line="215" w:lineRule="exact" w:before="4"/>
              <w:rPr>
                <w:sz w:val="18"/>
              </w:rPr>
            </w:pPr>
            <w:r>
              <w:rPr>
                <w:sz w:val="18"/>
              </w:rPr>
              <w:t>确认数</w:t>
            </w:r>
          </w:p>
        </w:tc>
        <w:tc>
          <w:tcPr>
            <w:tcW w:w="7694" w:type="dxa"/>
            <w:tcBorders>
              <w:top w:val="nil"/>
              <w:bottom w:val="nil"/>
            </w:tcBorders>
          </w:tcPr>
          <w:p>
            <w:pPr>
              <w:pStyle w:val="TableParagraph"/>
              <w:spacing w:line="215" w:lineRule="exact" w:before="4"/>
              <w:rPr>
                <w:sz w:val="18"/>
              </w:rPr>
            </w:pPr>
            <w:r>
              <w:rPr>
                <w:sz w:val="18"/>
              </w:rPr>
              <w:t>知数据、数据已充分反映所有与职责说明书相符的职位、是否按同一基础为不同的比较职位整理</w:t>
            </w:r>
          </w:p>
        </w:tc>
      </w:tr>
      <w:tr>
        <w:trPr>
          <w:trHeight w:val="240" w:hRule="atLeast"/>
        </w:trPr>
        <w:tc>
          <w:tcPr>
            <w:tcW w:w="828" w:type="dxa"/>
            <w:tcBorders>
              <w:top w:val="nil"/>
              <w:bottom w:val="nil"/>
            </w:tcBorders>
          </w:tcPr>
          <w:p>
            <w:pPr>
              <w:pStyle w:val="TableParagraph"/>
              <w:spacing w:line="215" w:lineRule="exact" w:before="4"/>
              <w:rPr>
                <w:sz w:val="18"/>
              </w:rPr>
            </w:pPr>
            <w:r>
              <w:rPr>
                <w:sz w:val="18"/>
              </w:rPr>
              <w:t>据</w:t>
            </w:r>
          </w:p>
        </w:tc>
        <w:tc>
          <w:tcPr>
            <w:tcW w:w="7694" w:type="dxa"/>
            <w:tcBorders>
              <w:top w:val="nil"/>
              <w:bottom w:val="nil"/>
            </w:tcBorders>
          </w:tcPr>
          <w:p>
            <w:pPr>
              <w:pStyle w:val="TableParagraph"/>
              <w:spacing w:line="215" w:lineRule="exact" w:before="4"/>
              <w:rPr>
                <w:sz w:val="18"/>
              </w:rPr>
            </w:pPr>
            <w:r>
              <w:rPr>
                <w:sz w:val="18"/>
              </w:rPr>
              <w:t>薪酬资料）。如发现数据出现任何不完整或不一致的情况，调查顾问应与有关参与调查的机构研</w:t>
            </w:r>
          </w:p>
        </w:tc>
      </w:tr>
      <w:tr>
        <w:trPr>
          <w:trHeight w:val="231" w:hRule="atLeast"/>
        </w:trPr>
        <w:tc>
          <w:tcPr>
            <w:tcW w:w="828" w:type="dxa"/>
            <w:tcBorders>
              <w:top w:val="nil"/>
            </w:tcBorders>
          </w:tcPr>
          <w:p>
            <w:pPr>
              <w:pStyle w:val="TableParagraph"/>
              <w:ind w:left="0"/>
              <w:rPr>
                <w:rFonts w:ascii="Times New Roman"/>
                <w:sz w:val="16"/>
              </w:rPr>
            </w:pPr>
          </w:p>
        </w:tc>
        <w:tc>
          <w:tcPr>
            <w:tcW w:w="7694" w:type="dxa"/>
            <w:tcBorders>
              <w:top w:val="nil"/>
            </w:tcBorders>
          </w:tcPr>
          <w:p>
            <w:pPr>
              <w:pStyle w:val="TableParagraph"/>
              <w:spacing w:line="207" w:lineRule="exact" w:before="4"/>
              <w:rPr>
                <w:sz w:val="18"/>
              </w:rPr>
            </w:pPr>
            <w:r>
              <w:rPr>
                <w:sz w:val="18"/>
              </w:rPr>
              <w:t>究。</w:t>
            </w:r>
          </w:p>
        </w:tc>
      </w:tr>
    </w:tbl>
    <w:p>
      <w:pPr>
        <w:spacing w:line="301" w:lineRule="exact" w:before="0"/>
        <w:ind w:left="220" w:right="0" w:firstLine="0"/>
        <w:jc w:val="left"/>
        <w:rPr>
          <w:rFonts w:ascii="Microsoft JhengHei" w:hAnsi="Microsoft JhengHei"/>
          <w:b/>
          <w:sz w:val="21"/>
        </w:rPr>
      </w:pPr>
      <w:r>
        <w:rPr>
          <w:rFonts w:ascii="Microsoft JhengHei" w:hAnsi="Microsoft JhengHei"/>
          <w:b/>
          <w:w w:val="390"/>
          <w:sz w:val="21"/>
        </w:rPr>
        <w:t>····</w:t>
      </w:r>
    </w:p>
    <w:p>
      <w:pPr>
        <w:pStyle w:val="ListParagraph"/>
        <w:numPr>
          <w:ilvl w:val="0"/>
          <w:numId w:val="5"/>
        </w:numPr>
        <w:tabs>
          <w:tab w:pos="748" w:val="left" w:leader="none"/>
        </w:tabs>
        <w:spacing w:line="194" w:lineRule="auto" w:before="16" w:after="0"/>
        <w:ind w:left="220" w:right="7153" w:firstLine="0"/>
        <w:jc w:val="left"/>
        <w:rPr>
          <w:rFonts w:ascii="Microsoft JhengHei" w:eastAsia="Microsoft JhengHei" w:hint="eastAsia"/>
          <w:b/>
          <w:sz w:val="21"/>
        </w:rPr>
      </w:pPr>
      <w:r>
        <w:rPr>
          <w:rFonts w:ascii="Microsoft JhengHei" w:eastAsia="Microsoft JhengHei" w:hint="eastAsia"/>
          <w:b/>
          <w:spacing w:val="-4"/>
          <w:sz w:val="21"/>
        </w:rPr>
        <w:t>数据分析</w:t>
      </w:r>
      <w:r>
        <w:rPr>
          <w:rFonts w:ascii="Microsoft JhengHei" w:eastAsia="Microsoft JhengHei" w:hint="eastAsia"/>
          <w:b/>
          <w:sz w:val="21"/>
        </w:rPr>
        <w:t>摘要</w:t>
      </w:r>
    </w:p>
    <w:p>
      <w:pPr>
        <w:pStyle w:val="BodyText"/>
        <w:spacing w:line="278" w:lineRule="auto" w:before="14"/>
        <w:ind w:right="219"/>
        <w:jc w:val="both"/>
      </w:pPr>
      <w:r>
        <w:rPr>
          <w:spacing w:val="-5"/>
          <w:w w:val="95"/>
        </w:rPr>
        <w:t>我们可就纳入调查范围的每个调查职位、每个职位属系，及同一职位级别的所有职位进行数   </w:t>
      </w:r>
      <w:r>
        <w:rPr>
          <w:spacing w:val="-10"/>
          <w:w w:val="95"/>
        </w:rPr>
        <w:t>据分析。有不同方法可把调查范围内不同职位的薪酬水平资料整合。我们建议按每一个公务   </w:t>
      </w:r>
      <w:r>
        <w:rPr>
          <w:spacing w:val="-14"/>
          <w:w w:val="95"/>
        </w:rPr>
        <w:t>员职位属系内的各个职位级别计算相应的私营机构薪酬数据，然后将属同一职位级别的所有   </w:t>
      </w:r>
      <w:r>
        <w:rPr>
          <w:spacing w:val="-17"/>
          <w:w w:val="95"/>
        </w:rPr>
        <w:t>职位属系的调查结果计算出平均值。所得出的平均值可提供一组私营机构薪酬统计资料，与   </w:t>
      </w:r>
      <w:r>
        <w:rPr>
          <w:spacing w:val="-17"/>
        </w:rPr>
        <w:t>公务员薪级表的相应薪点范围作一比较。</w:t>
      </w:r>
    </w:p>
    <w:p>
      <w:pPr>
        <w:pStyle w:val="BodyText"/>
        <w:spacing w:line="278" w:lineRule="auto"/>
        <w:ind w:right="219"/>
      </w:pPr>
      <w:r>
        <w:rPr>
          <w:spacing w:val="-5"/>
          <w:w w:val="95"/>
        </w:rPr>
        <w:t>薪酬水平数据可以百份比位值，如上四分位值、下四分位值、中位值及平均值表达。平均值   </w:t>
      </w:r>
      <w:r>
        <w:rPr>
          <w:spacing w:val="-5"/>
        </w:rPr>
        <w:t>可以是加权平均值或非加权平均值。我们建议薪酬水平数据应基本上反映各机构的薪酬安排，因此，不论个别机构员工人数多寡，每间参与薪酬水平调查的机构的比重应该一样。</w:t>
      </w:r>
      <w:r>
        <w:rPr>
          <w:spacing w:val="-10"/>
          <w:w w:val="95"/>
        </w:rPr>
        <w:t>我们建议将各种现金报酬组成部分，例如基本薪金和现金报酬总额，计算出不同组合的统计   </w:t>
      </w:r>
      <w:r>
        <w:rPr>
          <w:spacing w:val="-10"/>
        </w:rPr>
        <w:t>数值，然后与某职位级别的公务员薪级表的相应薪点范围作一比较。</w:t>
      </w:r>
    </w:p>
    <w:p>
      <w:pPr>
        <w:pStyle w:val="BodyText"/>
        <w:spacing w:line="269" w:lineRule="exact"/>
      </w:pPr>
      <w:r>
        <w:rPr/>
        <w:t>·····</w:t>
      </w:r>
    </w:p>
    <w:p>
      <w:pPr>
        <w:pStyle w:val="ListParagraph"/>
        <w:numPr>
          <w:ilvl w:val="1"/>
          <w:numId w:val="17"/>
        </w:numPr>
        <w:tabs>
          <w:tab w:pos="746" w:val="left" w:leader="none"/>
        </w:tabs>
        <w:spacing w:line="278" w:lineRule="auto" w:before="43" w:after="0"/>
        <w:ind w:left="220" w:right="651" w:firstLine="0"/>
        <w:jc w:val="left"/>
        <w:rPr>
          <w:sz w:val="21"/>
        </w:rPr>
      </w:pPr>
      <w:r>
        <w:rPr>
          <w:w w:val="95"/>
          <w:sz w:val="21"/>
        </w:rPr>
        <w:t>要将每一职位级别的私营机构薪酬数据与相应范围内的公务员薪点作对照比较，  </w:t>
      </w:r>
      <w:r>
        <w:rPr>
          <w:sz w:val="21"/>
        </w:rPr>
        <w:t>有两个可行方法：</w:t>
      </w:r>
    </w:p>
    <w:p>
      <w:pPr>
        <w:pStyle w:val="BodyText"/>
        <w:spacing w:line="252" w:lineRule="auto"/>
        <w:ind w:right="2855"/>
      </w:pPr>
      <w:r>
        <w:rPr>
          <w:w w:val="95"/>
        </w:rPr>
        <w:t>方法一</w:t>
      </w:r>
      <w:r>
        <w:rPr>
          <w:rFonts w:ascii="方正姚体" w:eastAsia="方正姚体" w:hint="eastAsia"/>
          <w:w w:val="95"/>
        </w:rPr>
        <w:t>︰</w:t>
      </w:r>
      <w:r>
        <w:rPr>
          <w:w w:val="95"/>
        </w:rPr>
        <w:t>职位属系统计分析法（加权或非加权平均值分析法） </w:t>
      </w:r>
      <w:r>
        <w:rPr/>
        <w:t>方法二</w:t>
      </w:r>
      <w:r>
        <w:rPr>
          <w:rFonts w:ascii="方正姚体" w:eastAsia="方正姚体" w:hint="eastAsia"/>
        </w:rPr>
        <w:t>︰</w:t>
      </w:r>
      <w:r>
        <w:rPr/>
        <w:t>机构统计分析法</w:t>
      </w:r>
    </w:p>
    <w:p>
      <w:pPr>
        <w:pStyle w:val="BodyText"/>
        <w:spacing w:before="6"/>
        <w:ind w:left="0"/>
        <w:rPr>
          <w:sz w:val="23"/>
        </w:rPr>
      </w:pPr>
    </w:p>
    <w:p>
      <w:pPr>
        <w:pStyle w:val="BodyText"/>
      </w:pPr>
      <w:r>
        <w:rPr/>
        <w:t>方法一</w:t>
      </w:r>
      <w:r>
        <w:rPr>
          <w:rFonts w:ascii="方正姚体" w:eastAsia="方正姚体" w:hint="eastAsia"/>
        </w:rPr>
        <w:t>︰</w:t>
      </w:r>
      <w:r>
        <w:rPr/>
        <w:t>职位属系统计分析法（加权或非加权平均值分析法）</w:t>
      </w:r>
    </w:p>
    <w:p>
      <w:pPr>
        <w:pStyle w:val="ListParagraph"/>
        <w:numPr>
          <w:ilvl w:val="1"/>
          <w:numId w:val="17"/>
        </w:numPr>
        <w:tabs>
          <w:tab w:pos="746" w:val="left" w:leader="none"/>
        </w:tabs>
        <w:spacing w:line="240" w:lineRule="auto" w:before="29" w:after="0"/>
        <w:ind w:left="745" w:right="0" w:hanging="526"/>
        <w:jc w:val="both"/>
        <w:rPr>
          <w:sz w:val="21"/>
        </w:rPr>
      </w:pPr>
      <w:r>
        <w:rPr>
          <w:sz w:val="21"/>
        </w:rPr>
        <w:t>这方法将属同一职位级别内所有职位属系的私营机构薪酬指标结合（按上文第7.6</w:t>
      </w:r>
      <w:r>
        <w:rPr>
          <w:spacing w:val="-4"/>
          <w:sz w:val="21"/>
        </w:rPr>
        <w:t> 至</w:t>
      </w:r>
    </w:p>
    <w:p>
      <w:pPr>
        <w:pStyle w:val="BodyText"/>
        <w:spacing w:line="312" w:lineRule="exact" w:before="3"/>
        <w:ind w:right="219"/>
        <w:jc w:val="both"/>
      </w:pPr>
      <w:r>
        <w:rPr/>
        <w:t>7.7</w:t>
      </w:r>
      <w:r>
        <w:rPr>
          <w:spacing w:val="-5"/>
        </w:rPr>
        <w:t> 段所述的两种计算方法的其中一个方法结合</w:t>
      </w:r>
      <w:r>
        <w:rPr>
          <w:spacing w:val="-46"/>
        </w:rPr>
        <w:t>），</w:t>
      </w:r>
      <w:r>
        <w:rPr/>
        <w:t>为每个公务员职位级别得出一个分析数</w:t>
      </w:r>
      <w:r>
        <w:rPr>
          <w:spacing w:val="-9"/>
          <w:w w:val="95"/>
        </w:rPr>
        <w:t>据。其中一个方法是按各职位属系的公务员职位编制，将同一职位级别内各职位属系的私营   </w:t>
      </w:r>
      <w:r>
        <w:rPr>
          <w:spacing w:val="-14"/>
          <w:w w:val="95"/>
        </w:rPr>
        <w:t>机构薪酬指标计算加权平均值。另一方法是将同一职位级别内各职位属系的私营机构薪酬指   </w:t>
      </w:r>
      <w:r>
        <w:rPr>
          <w:spacing w:val="-14"/>
        </w:rPr>
        <w:t>标计算非加权平均值。附件</w:t>
      </w:r>
      <w:r>
        <w:rPr>
          <w:rFonts w:ascii="Microsoft JhengHei" w:eastAsia="Microsoft JhengHei" w:hint="eastAsia"/>
          <w:b/>
          <w:spacing w:val="-14"/>
        </w:rPr>
        <w:t>F</w:t>
      </w:r>
      <w:r>
        <w:rPr>
          <w:rFonts w:ascii="Microsoft JhengHei" w:eastAsia="Microsoft JhengHei" w:hint="eastAsia"/>
          <w:b/>
          <w:spacing w:val="52"/>
        </w:rPr>
        <w:t> </w:t>
      </w:r>
      <w:r>
        <w:rPr/>
        <w:t>说明按这方法统整和分析数据的过程。</w:t>
      </w:r>
    </w:p>
    <w:p>
      <w:pPr>
        <w:spacing w:after="0" w:line="312" w:lineRule="exact"/>
        <w:jc w:val="both"/>
        <w:sectPr>
          <w:pgSz w:w="11910" w:h="16840"/>
          <w:pgMar w:header="852" w:footer="1829" w:top="1820" w:bottom="2100" w:left="1580" w:right="1580"/>
        </w:sectPr>
      </w:pPr>
    </w:p>
    <w:p>
      <w:pPr>
        <w:pStyle w:val="BodyText"/>
        <w:spacing w:before="74"/>
      </w:pPr>
      <w:r>
        <w:rPr/>
        <w:t>方法二</w:t>
      </w:r>
      <w:r>
        <w:rPr>
          <w:rFonts w:ascii="方正姚体" w:eastAsia="方正姚体" w:hint="eastAsia"/>
        </w:rPr>
        <w:t>︰</w:t>
      </w:r>
      <w:r>
        <w:rPr/>
        <w:t>机构统计分析法</w:t>
      </w:r>
    </w:p>
    <w:p>
      <w:pPr>
        <w:pStyle w:val="ListParagraph"/>
        <w:numPr>
          <w:ilvl w:val="1"/>
          <w:numId w:val="18"/>
        </w:numPr>
        <w:tabs>
          <w:tab w:pos="746" w:val="left" w:leader="none"/>
        </w:tabs>
        <w:spacing w:line="278" w:lineRule="auto" w:before="29" w:after="0"/>
        <w:ind w:left="220" w:right="219" w:firstLine="0"/>
        <w:jc w:val="both"/>
        <w:rPr>
          <w:sz w:val="21"/>
        </w:rPr>
      </w:pPr>
      <w:r>
        <w:rPr>
          <w:sz w:val="21"/>
        </w:rPr>
        <w:t>在这方法下，我们会就每间私营机构将与某一个公务员职位级别对应的所有私营机构</w:t>
      </w:r>
      <w:r>
        <w:rPr>
          <w:spacing w:val="-6"/>
          <w:w w:val="95"/>
          <w:sz w:val="21"/>
        </w:rPr>
        <w:t>职位在职者的薪酬数据计算平均值，这个数值代表该机构在各职位级别以五个职位属系合并   </w:t>
      </w:r>
      <w:r>
        <w:rPr>
          <w:spacing w:val="-12"/>
          <w:w w:val="95"/>
          <w:sz w:val="21"/>
        </w:rPr>
        <w:t>计算的薪酬水平。随后，我们会将同一职位级别内所有机构的薪酬指标结合起来，从而为每   </w:t>
      </w:r>
      <w:r>
        <w:rPr>
          <w:spacing w:val="-16"/>
          <w:w w:val="95"/>
          <w:sz w:val="21"/>
        </w:rPr>
        <w:t>一个职位级别的所有职位计算出一个分析数值，但这方法会将私营机构内不同职位属系之间   </w:t>
      </w:r>
      <w:r>
        <w:rPr>
          <w:spacing w:val="-18"/>
          <w:w w:val="95"/>
          <w:sz w:val="21"/>
        </w:rPr>
        <w:t>在薪酬水平上可能存在的差异隐藏。按这方法所得的私营机构薪酬数据可能过于概括，以致</w:t>
      </w:r>
    </w:p>
    <w:p>
      <w:pPr>
        <w:pStyle w:val="BodyText"/>
        <w:spacing w:line="314" w:lineRule="exact"/>
      </w:pPr>
      <w:r>
        <w:rPr/>
        <w:t>未能提供一个有意义和具公信力的基础，与公务员薪酬水平作出比较。附件</w:t>
      </w:r>
      <w:r>
        <w:rPr>
          <w:rFonts w:ascii="Microsoft JhengHei" w:eastAsia="Microsoft JhengHei" w:hint="eastAsia"/>
          <w:b/>
        </w:rPr>
        <w:t>F </w:t>
      </w:r>
      <w:r>
        <w:rPr/>
        <w:t>说明按这方法</w:t>
      </w:r>
    </w:p>
    <w:p>
      <w:pPr>
        <w:pStyle w:val="BodyText"/>
        <w:spacing w:line="267" w:lineRule="exact"/>
      </w:pPr>
      <w:r>
        <w:rPr/>
        <w:t>统整及分析数据的过程。</w:t>
      </w:r>
    </w:p>
    <w:p>
      <w:pPr>
        <w:pStyle w:val="ListParagraph"/>
        <w:numPr>
          <w:ilvl w:val="1"/>
          <w:numId w:val="18"/>
        </w:numPr>
        <w:tabs>
          <w:tab w:pos="746" w:val="left" w:leader="none"/>
        </w:tabs>
        <w:spacing w:line="264" w:lineRule="auto" w:before="30" w:after="0"/>
        <w:ind w:left="220" w:right="229" w:firstLine="0"/>
        <w:jc w:val="both"/>
        <w:rPr>
          <w:sz w:val="21"/>
        </w:rPr>
      </w:pPr>
      <w:r>
        <w:rPr>
          <w:w w:val="95"/>
          <w:sz w:val="21"/>
        </w:rPr>
        <w:t>基于下列理由，我们建议采用方法一（即职位属系统计分析法</w:t>
      </w:r>
      <w:r>
        <w:rPr>
          <w:rFonts w:ascii="方正姚体" w:eastAsia="方正姚体" w:hint="eastAsia"/>
          <w:w w:val="95"/>
          <w:sz w:val="21"/>
        </w:rPr>
        <w:t>︰</w:t>
      </w:r>
      <w:r>
        <w:rPr>
          <w:w w:val="95"/>
          <w:sz w:val="21"/>
        </w:rPr>
        <w:t>加权或非加权平均值  </w:t>
      </w:r>
      <w:r>
        <w:rPr>
          <w:sz w:val="21"/>
        </w:rPr>
        <w:t>分析法）:</w:t>
      </w:r>
    </w:p>
    <w:p>
      <w:pPr>
        <w:pStyle w:val="ListParagraph"/>
        <w:numPr>
          <w:ilvl w:val="0"/>
          <w:numId w:val="19"/>
        </w:numPr>
        <w:tabs>
          <w:tab w:pos="640" w:val="left" w:leader="none"/>
        </w:tabs>
        <w:spacing w:line="278" w:lineRule="auto" w:before="15" w:after="0"/>
        <w:ind w:left="220" w:right="219" w:firstLine="0"/>
        <w:jc w:val="both"/>
        <w:rPr>
          <w:sz w:val="21"/>
        </w:rPr>
      </w:pPr>
      <w:r>
        <w:rPr>
          <w:spacing w:val="-3"/>
          <w:w w:val="95"/>
          <w:sz w:val="21"/>
        </w:rPr>
        <w:t>这方法可为每一个职位级别计算一个涵盖各职位属系的私营机构薪酬整合指标，这符合   </w:t>
      </w:r>
      <w:r>
        <w:rPr>
          <w:spacing w:val="-9"/>
          <w:w w:val="95"/>
          <w:sz w:val="21"/>
        </w:rPr>
        <w:t>大致相若这项比较原则。在这原则下，那些在工作内容和性质、须承担责任的轻重和工作要   </w:t>
      </w:r>
      <w:r>
        <w:rPr>
          <w:spacing w:val="-11"/>
          <w:w w:val="95"/>
          <w:sz w:val="21"/>
        </w:rPr>
        <w:t>求各方面大致相若的公务员职位会集结起来</w:t>
      </w:r>
      <w:r>
        <w:rPr>
          <w:w w:val="95"/>
          <w:sz w:val="21"/>
        </w:rPr>
        <w:t>（归纳入同一职位级别内</w:t>
      </w:r>
      <w:r>
        <w:rPr>
          <w:spacing w:val="-31"/>
          <w:w w:val="95"/>
          <w:sz w:val="21"/>
        </w:rPr>
        <w:t>）</w:t>
      </w:r>
      <w:r>
        <w:rPr>
          <w:spacing w:val="-6"/>
          <w:w w:val="95"/>
          <w:sz w:val="21"/>
        </w:rPr>
        <w:t>，与私营机构中在以   </w:t>
      </w:r>
      <w:r>
        <w:rPr>
          <w:spacing w:val="-6"/>
          <w:sz w:val="21"/>
        </w:rPr>
        <w:t>上各方面与公务员职位大致相若的职位作一比较；及</w:t>
      </w:r>
    </w:p>
    <w:p>
      <w:pPr>
        <w:pStyle w:val="ListParagraph"/>
        <w:numPr>
          <w:ilvl w:val="0"/>
          <w:numId w:val="19"/>
        </w:numPr>
        <w:tabs>
          <w:tab w:pos="640" w:val="left" w:leader="none"/>
        </w:tabs>
        <w:spacing w:line="278" w:lineRule="auto" w:before="0" w:after="0"/>
        <w:ind w:left="220" w:right="219" w:firstLine="0"/>
        <w:jc w:val="both"/>
        <w:rPr>
          <w:sz w:val="21"/>
        </w:rPr>
      </w:pPr>
      <w:r>
        <w:rPr>
          <w:spacing w:val="-5"/>
          <w:w w:val="95"/>
          <w:sz w:val="21"/>
        </w:rPr>
        <w:t>有别于方法二</w:t>
      </w:r>
      <w:r>
        <w:rPr>
          <w:w w:val="95"/>
          <w:sz w:val="21"/>
        </w:rPr>
        <w:t>（机构统计分析法</w:t>
      </w:r>
      <w:r>
        <w:rPr>
          <w:spacing w:val="-31"/>
          <w:w w:val="95"/>
          <w:sz w:val="21"/>
        </w:rPr>
        <w:t>）</w:t>
      </w:r>
      <w:r>
        <w:rPr>
          <w:spacing w:val="-6"/>
          <w:w w:val="95"/>
          <w:sz w:val="21"/>
        </w:rPr>
        <w:t>，方法一既能为每个职位级别提供一个整合的薪酬指  </w:t>
      </w:r>
      <w:r>
        <w:rPr>
          <w:spacing w:val="-6"/>
          <w:sz w:val="21"/>
        </w:rPr>
        <w:t>标，而如果私营机构不同职位属系之间在薪酬水平上存有任何差异，亦可予反映。</w:t>
      </w:r>
    </w:p>
    <w:p>
      <w:pPr>
        <w:pStyle w:val="ListParagraph"/>
        <w:numPr>
          <w:ilvl w:val="1"/>
          <w:numId w:val="18"/>
        </w:numPr>
        <w:tabs>
          <w:tab w:pos="746" w:val="left" w:leader="none"/>
        </w:tabs>
        <w:spacing w:line="278" w:lineRule="auto" w:before="0" w:after="0"/>
        <w:ind w:left="220" w:right="219" w:firstLine="0"/>
        <w:jc w:val="both"/>
        <w:rPr>
          <w:sz w:val="21"/>
        </w:rPr>
      </w:pPr>
      <w:r>
        <w:rPr>
          <w:sz w:val="21"/>
        </w:rPr>
        <w:t>我们亦建议根据同一个职位级别内各职位属系的薪酬指标计算出非加权平均值，作为</w:t>
      </w:r>
      <w:r>
        <w:rPr>
          <w:spacing w:val="-5"/>
          <w:w w:val="95"/>
          <w:sz w:val="21"/>
        </w:rPr>
        <w:t>每个职位级别的整合指标。同一职位级别</w:t>
      </w:r>
      <w:r>
        <w:rPr>
          <w:w w:val="95"/>
          <w:sz w:val="21"/>
        </w:rPr>
        <w:t>（</w:t>
      </w:r>
      <w:r>
        <w:rPr>
          <w:spacing w:val="-3"/>
          <w:w w:val="95"/>
          <w:sz w:val="21"/>
        </w:rPr>
        <w:t>即在需承担责任的轻重、资历及经验要求方面相   若</w:t>
      </w:r>
      <w:r>
        <w:rPr>
          <w:spacing w:val="-29"/>
          <w:w w:val="95"/>
          <w:sz w:val="21"/>
        </w:rPr>
        <w:t>）</w:t>
      </w:r>
      <w:r>
        <w:rPr>
          <w:spacing w:val="-7"/>
          <w:w w:val="95"/>
          <w:sz w:val="21"/>
        </w:rPr>
        <w:t>的公务员职位，其公务员薪级表的薪点范围相若。在现行的公务员内部薪酬对比关系制   </w:t>
      </w:r>
      <w:r>
        <w:rPr>
          <w:spacing w:val="-10"/>
          <w:w w:val="95"/>
          <w:sz w:val="21"/>
        </w:rPr>
        <w:t>度下，属相同职位级别的职位需承担责任的轻重相若而其薪点范围亦相近。这种内部薪酬对   </w:t>
      </w:r>
      <w:r>
        <w:rPr>
          <w:spacing w:val="-11"/>
          <w:w w:val="95"/>
          <w:sz w:val="21"/>
        </w:rPr>
        <w:t>比关系，是根据公务员职位之间的相对工作要求和需承担责任的轻重而厘定，跟每种职位的   </w:t>
      </w:r>
      <w:r>
        <w:rPr>
          <w:spacing w:val="-13"/>
          <w:w w:val="95"/>
          <w:sz w:val="21"/>
        </w:rPr>
        <w:t>编制无关。因此我们认为，按各职位属系的公务员职位编制计算加权平均值，并不可取，因   </w:t>
      </w:r>
      <w:r>
        <w:rPr>
          <w:spacing w:val="-17"/>
          <w:w w:val="95"/>
          <w:sz w:val="21"/>
        </w:rPr>
        <w:t>为它所采用的加权数值是根据职位编制计算出来的，可能会扰乱现行的薪酬结构和内部薪酬   </w:t>
      </w:r>
      <w:r>
        <w:rPr>
          <w:spacing w:val="-15"/>
          <w:w w:val="95"/>
          <w:sz w:val="21"/>
        </w:rPr>
        <w:t>对比关系。采用职位属系作为基础，可以提供有关不同职位属系内各私营机构职位的相对薪   </w:t>
      </w:r>
      <w:r>
        <w:rPr>
          <w:spacing w:val="-15"/>
          <w:sz w:val="21"/>
        </w:rPr>
        <w:t>酬水平的额外数据，而并非基于一个量化机制来比较公务员和私营机构雇员的薪酬。</w:t>
      </w:r>
    </w:p>
    <w:p>
      <w:pPr>
        <w:pStyle w:val="Heading1"/>
        <w:spacing w:line="279" w:lineRule="exact"/>
      </w:pPr>
      <w:r>
        <w:rPr>
          <w:w w:val="390"/>
        </w:rPr>
        <w:t>····</w:t>
      </w:r>
    </w:p>
    <w:p>
      <w:pPr>
        <w:pStyle w:val="ListParagraph"/>
        <w:numPr>
          <w:ilvl w:val="0"/>
          <w:numId w:val="5"/>
        </w:numPr>
        <w:tabs>
          <w:tab w:pos="854" w:val="left" w:leader="none"/>
        </w:tabs>
        <w:spacing w:line="194" w:lineRule="auto" w:before="15" w:after="0"/>
        <w:ind w:left="220" w:right="6627" w:firstLine="0"/>
        <w:jc w:val="left"/>
        <w:rPr>
          <w:rFonts w:ascii="Microsoft JhengHei" w:eastAsia="Microsoft JhengHei" w:hint="eastAsia"/>
          <w:b/>
          <w:sz w:val="21"/>
        </w:rPr>
      </w:pPr>
      <w:r>
        <w:rPr>
          <w:rFonts w:ascii="Microsoft JhengHei" w:eastAsia="Microsoft JhengHei" w:hint="eastAsia"/>
          <w:b/>
          <w:spacing w:val="-3"/>
          <w:sz w:val="21"/>
        </w:rPr>
        <w:t>薪酬趋势调查</w:t>
      </w:r>
      <w:r>
        <w:rPr>
          <w:rFonts w:ascii="Microsoft JhengHei" w:eastAsia="Microsoft JhengHei" w:hint="eastAsia"/>
          <w:b/>
          <w:sz w:val="21"/>
        </w:rPr>
        <w:t>摘要</w:t>
      </w:r>
    </w:p>
    <w:p>
      <w:pPr>
        <w:pStyle w:val="BodyText"/>
        <w:spacing w:line="278" w:lineRule="auto" w:before="15"/>
        <w:ind w:right="219"/>
        <w:jc w:val="both"/>
      </w:pPr>
      <w:r>
        <w:rPr>
          <w:spacing w:val="-3"/>
          <w:w w:val="95"/>
        </w:rPr>
        <w:t>我们应主要透过薪酬水平调查确定公务员薪酬是否与私营机构薪酬保持大致相若。假若薪酬   </w:t>
      </w:r>
      <w:r>
        <w:rPr>
          <w:spacing w:val="-9"/>
          <w:w w:val="95"/>
        </w:rPr>
        <w:t>水平调查是每隔三至五年进行一次，我们建议当局可以考虑参考巿场上现有的薪酬趋势分析   </w:t>
      </w:r>
      <w:r>
        <w:rPr>
          <w:spacing w:val="-11"/>
          <w:w w:val="95"/>
        </w:rPr>
        <w:t>数据，而毋需安排进行专设的薪酬趋势分析。如果要继续进行薪酬趋势调查的话，我们建议   </w:t>
      </w:r>
      <w:r>
        <w:rPr>
          <w:spacing w:val="-15"/>
          <w:w w:val="95"/>
        </w:rPr>
        <w:t>该项调查的调查范围应该与薪酬水平调查的调查范围一致，并应搜集有关现金报酬总额的数   </w:t>
      </w:r>
      <w:r>
        <w:rPr>
          <w:spacing w:val="-10"/>
          <w:w w:val="95"/>
        </w:rPr>
        <w:t>据。另外，我们建议这项调查应搜集有关私营机构发放浮动薪酬的政策资料，以便当局在考   </w:t>
      </w:r>
      <w:r>
        <w:rPr>
          <w:spacing w:val="-14"/>
          <w:w w:val="95"/>
        </w:rPr>
        <w:t>虑对公务员薪酬进行调整时，得以确定应把哪些出现变化的薪酬组成部分考虑在内，为调整   </w:t>
      </w:r>
      <w:r>
        <w:rPr>
          <w:spacing w:val="-14"/>
        </w:rPr>
        <w:t>薪酬时提供概括性参考。</w:t>
      </w:r>
    </w:p>
    <w:p>
      <w:pPr>
        <w:pStyle w:val="BodyText"/>
        <w:spacing w:before="57"/>
      </w:pPr>
      <w:r>
        <w:rPr/>
        <w:t>·····</w:t>
      </w:r>
    </w:p>
    <w:p>
      <w:pPr>
        <w:pStyle w:val="BodyText"/>
        <w:ind w:left="0"/>
        <w:rPr>
          <w:sz w:val="20"/>
        </w:rPr>
      </w:pPr>
    </w:p>
    <w:p>
      <w:pPr>
        <w:pStyle w:val="BodyText"/>
        <w:spacing w:before="2"/>
        <w:ind w:left="0"/>
        <w:rPr>
          <w:sz w:val="15"/>
        </w:rPr>
      </w:pPr>
    </w:p>
    <w:p>
      <w:pPr>
        <w:pStyle w:val="Heading1"/>
        <w:ind w:left="640"/>
        <w:rPr>
          <w:rFonts w:ascii="宋体" w:eastAsia="宋体" w:hint="eastAsia"/>
        </w:rPr>
      </w:pPr>
      <w:r>
        <w:rPr>
          <w:rFonts w:ascii="宋体" w:eastAsia="宋体" w:hint="eastAsia"/>
          <w:w w:val="95"/>
        </w:rPr>
        <w:t>思考题</w:t>
      </w:r>
    </w:p>
    <w:p>
      <w:pPr>
        <w:pStyle w:val="ListParagraph"/>
        <w:numPr>
          <w:ilvl w:val="1"/>
          <w:numId w:val="5"/>
        </w:numPr>
        <w:tabs>
          <w:tab w:pos="1000" w:val="left" w:leader="none"/>
        </w:tabs>
        <w:spacing w:line="240" w:lineRule="auto" w:before="91" w:after="0"/>
        <w:ind w:left="1000" w:right="0" w:hanging="360"/>
        <w:jc w:val="left"/>
        <w:rPr>
          <w:sz w:val="21"/>
        </w:rPr>
      </w:pPr>
      <w:r>
        <w:rPr>
          <w:sz w:val="21"/>
        </w:rPr>
        <w:t>薪酬专业人员在购买或使用外部的薪酬调查数据时需要考虑哪些问题？</w:t>
      </w:r>
    </w:p>
    <w:p>
      <w:pPr>
        <w:pStyle w:val="ListParagraph"/>
        <w:numPr>
          <w:ilvl w:val="1"/>
          <w:numId w:val="5"/>
        </w:numPr>
        <w:tabs>
          <w:tab w:pos="1000" w:val="left" w:leader="none"/>
        </w:tabs>
        <w:spacing w:line="240" w:lineRule="auto" w:before="91" w:after="0"/>
        <w:ind w:left="1000" w:right="0" w:hanging="360"/>
        <w:jc w:val="left"/>
        <w:rPr>
          <w:sz w:val="21"/>
        </w:rPr>
      </w:pPr>
      <w:r>
        <w:rPr>
          <w:sz w:val="21"/>
        </w:rPr>
        <w:t>薪酬调查的一般程序是什么？</w:t>
      </w:r>
    </w:p>
    <w:p>
      <w:pPr>
        <w:spacing w:after="0" w:line="240" w:lineRule="auto"/>
        <w:jc w:val="left"/>
        <w:rPr>
          <w:sz w:val="21"/>
        </w:rPr>
        <w:sectPr>
          <w:pgSz w:w="11910" w:h="16840"/>
          <w:pgMar w:header="852" w:footer="1829" w:top="1820" w:bottom="2100" w:left="1580" w:right="1580"/>
        </w:sectPr>
      </w:pPr>
    </w:p>
    <w:p>
      <w:pPr>
        <w:pStyle w:val="ListParagraph"/>
        <w:numPr>
          <w:ilvl w:val="1"/>
          <w:numId w:val="5"/>
        </w:numPr>
        <w:tabs>
          <w:tab w:pos="1000" w:val="left" w:leader="none"/>
        </w:tabs>
        <w:spacing w:line="240" w:lineRule="auto" w:before="144" w:after="0"/>
        <w:ind w:left="1000" w:right="0" w:hanging="360"/>
        <w:jc w:val="left"/>
        <w:rPr>
          <w:sz w:val="21"/>
        </w:rPr>
      </w:pPr>
      <w:r>
        <w:rPr>
          <w:sz w:val="21"/>
        </w:rPr>
        <w:t>薪酬调查数据分析的常用方法有哪些？</w:t>
      </w:r>
    </w:p>
    <w:p>
      <w:pPr>
        <w:pStyle w:val="ListParagraph"/>
        <w:numPr>
          <w:ilvl w:val="1"/>
          <w:numId w:val="5"/>
        </w:numPr>
        <w:tabs>
          <w:tab w:pos="1000" w:val="left" w:leader="none"/>
        </w:tabs>
        <w:spacing w:line="240" w:lineRule="auto" w:before="91" w:after="0"/>
        <w:ind w:left="1000" w:right="0" w:hanging="360"/>
        <w:jc w:val="left"/>
        <w:rPr>
          <w:sz w:val="21"/>
        </w:rPr>
      </w:pPr>
      <w:r>
        <w:rPr>
          <w:spacing w:val="-8"/>
          <w:sz w:val="21"/>
        </w:rPr>
        <w:t>请仔细阅读案例 </w:t>
      </w:r>
      <w:r>
        <w:rPr>
          <w:spacing w:val="-11"/>
          <w:sz w:val="21"/>
        </w:rPr>
        <w:t>6-3</w:t>
      </w:r>
      <w:r>
        <w:rPr>
          <w:spacing w:val="-6"/>
          <w:sz w:val="21"/>
        </w:rPr>
        <w:t>，然后选择一个你熟悉的组织，为其编制一份薪酬调查的方案。</w:t>
      </w:r>
    </w:p>
    <w:sectPr>
      <w:pgSz w:w="11910" w:h="16840"/>
      <w:pgMar w:header="852" w:footer="1829" w:top="1820" w:bottom="2100" w:left="15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宋体">
    <w:altName w:val="宋体"/>
    <w:charset w:val="86"/>
    <w:family w:val="auto"/>
    <w:pitch w:val="variable"/>
  </w:font>
  <w:font w:name="Microsoft JhengHei">
    <w:altName w:val="Microsoft JhengHei"/>
    <w:charset w:val="0"/>
    <w:family w:val="swiss"/>
    <w:pitch w:val="variable"/>
  </w:font>
  <w:font w:name="Wingdings">
    <w:altName w:val="Wingdings"/>
    <w:charset w:val="2"/>
    <w:family w:val="auto"/>
    <w:pitch w:val="variable"/>
  </w:font>
  <w:font w:name="Symbol">
    <w:altName w:val="Symbol"/>
    <w:charset w:val="2"/>
    <w:family w:val="roman"/>
    <w:pitch w:val="variable"/>
  </w:font>
  <w:font w:name="Arial">
    <w:altName w:val="Arial"/>
    <w:charset w:val="0"/>
    <w:family w:val="swiss"/>
    <w:pitch w:val="variable"/>
  </w:font>
  <w:font w:name="方正姚体">
    <w:altName w:val="方正姚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50014720">
          <wp:simplePos x="0" y="0"/>
          <wp:positionH relativeFrom="page">
            <wp:posOffset>1979731</wp:posOffset>
          </wp:positionH>
          <wp:positionV relativeFrom="page">
            <wp:posOffset>9357360</wp:posOffset>
          </wp:positionV>
          <wp:extent cx="3705895" cy="686541"/>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3705895" cy="686541"/>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50017792">
          <wp:simplePos x="0" y="0"/>
          <wp:positionH relativeFrom="page">
            <wp:posOffset>1979731</wp:posOffset>
          </wp:positionH>
          <wp:positionV relativeFrom="page">
            <wp:posOffset>9357360</wp:posOffset>
          </wp:positionV>
          <wp:extent cx="3705895" cy="686541"/>
          <wp:effectExtent l="0" t="0" r="0" b="0"/>
          <wp:wrapNone/>
          <wp:docPr id="7" name="image2.jpeg"/>
          <wp:cNvGraphicFramePr>
            <a:graphicFrameLocks noChangeAspect="1"/>
          </wp:cNvGraphicFramePr>
          <a:graphic>
            <a:graphicData uri="http://schemas.openxmlformats.org/drawingml/2006/picture">
              <pic:pic>
                <pic:nvPicPr>
                  <pic:cNvPr id="8" name="image2.jpeg"/>
                  <pic:cNvPicPr/>
                </pic:nvPicPr>
                <pic:blipFill>
                  <a:blip r:embed="rId1" cstate="print"/>
                  <a:stretch>
                    <a:fillRect/>
                  </a:stretch>
                </pic:blipFill>
                <pic:spPr>
                  <a:xfrm>
                    <a:off x="0" y="0"/>
                    <a:ext cx="3705895" cy="686541"/>
                  </a:xfrm>
                  <a:prstGeom prst="rect">
                    <a:avLst/>
                  </a:prstGeom>
                </pic:spPr>
              </pic:pic>
            </a:graphicData>
          </a:graphic>
        </wp:anchor>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50012672">
          <wp:simplePos x="0" y="0"/>
          <wp:positionH relativeFrom="page">
            <wp:posOffset>1763267</wp:posOffset>
          </wp:positionH>
          <wp:positionV relativeFrom="page">
            <wp:posOffset>541020</wp:posOffset>
          </wp:positionV>
          <wp:extent cx="309371" cy="57607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309371" cy="57607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80.199997pt;margin-top:74.192757pt;width:277.75pt;height:17.850pt;mso-position-horizontal-relative:page;mso-position-vertical-relative:page;z-index:-253302784" type="#_x0000_t202" filled="false" stroked="false">
          <v:textbox inset="0,0,0,0">
            <w:txbxContent>
              <w:p>
                <w:pPr>
                  <w:spacing w:line="357" w:lineRule="exact" w:before="0"/>
                  <w:ind w:left="20" w:right="0" w:firstLine="0"/>
                  <w:jc w:val="left"/>
                  <w:rPr>
                    <w:rFonts w:ascii="微软雅黑" w:eastAsia="微软雅黑" w:hint="eastAsia"/>
                    <w:sz w:val="24"/>
                  </w:rPr>
                </w:pPr>
                <w:r>
                  <w:rPr>
                    <w:rFonts w:ascii="微软雅黑" w:eastAsia="微软雅黑" w:hint="eastAsia"/>
                    <w:color w:val="1B00C0"/>
                    <w:sz w:val="24"/>
                  </w:rPr>
                  <w:t>免费人力资源实战内容分享平台 </w:t>
                </w:r>
                <w:hyperlink r:id="rId2">
                  <w:r>
                    <w:rPr>
                      <w:rFonts w:ascii="微软雅黑" w:eastAsia="微软雅黑" w:hint="eastAsia"/>
                      <w:color w:val="0000FF"/>
                      <w:sz w:val="24"/>
                    </w:rPr>
                    <w:t>www.ruthout.com</w:t>
                  </w:r>
                </w:hyperlink>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50015744">
          <wp:simplePos x="0" y="0"/>
          <wp:positionH relativeFrom="page">
            <wp:posOffset>1763267</wp:posOffset>
          </wp:positionH>
          <wp:positionV relativeFrom="page">
            <wp:posOffset>541020</wp:posOffset>
          </wp:positionV>
          <wp:extent cx="309371" cy="576072"/>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309371" cy="576072"/>
                  </a:xfrm>
                  <a:prstGeom prst="rect">
                    <a:avLst/>
                  </a:prstGeom>
                </pic:spPr>
              </pic:pic>
            </a:graphicData>
          </a:graphic>
        </wp:anchor>
      </w:drawing>
    </w:r>
    <w:r>
      <w:rPr/>
      <w:pict>
        <v:shape style="position:absolute;margin-left:180.199997pt;margin-top:74.192757pt;width:277.75pt;height:17.850pt;mso-position-horizontal-relative:page;mso-position-vertical-relative:page;z-index:-253299712" type="#_x0000_t202" filled="false" stroked="false">
          <v:textbox inset="0,0,0,0">
            <w:txbxContent>
              <w:p>
                <w:pPr>
                  <w:spacing w:line="357" w:lineRule="exact" w:before="0"/>
                  <w:ind w:left="20" w:right="0" w:firstLine="0"/>
                  <w:jc w:val="left"/>
                  <w:rPr>
                    <w:rFonts w:ascii="微软雅黑" w:eastAsia="微软雅黑" w:hint="eastAsia"/>
                    <w:sz w:val="24"/>
                  </w:rPr>
                </w:pPr>
                <w:r>
                  <w:rPr>
                    <w:rFonts w:ascii="微软雅黑" w:eastAsia="微软雅黑" w:hint="eastAsia"/>
                    <w:color w:val="1B00C0"/>
                    <w:sz w:val="24"/>
                  </w:rPr>
                  <w:t>免费人力资源实战内容分享平台 </w:t>
                </w:r>
                <w:hyperlink r:id="rId2">
                  <w:r>
                    <w:rPr>
                      <w:rFonts w:ascii="微软雅黑" w:eastAsia="微软雅黑" w:hint="eastAsia"/>
                      <w:color w:val="0000FF"/>
                      <w:sz w:val="24"/>
                    </w:rPr>
                    <w:t>www.ruthout.com</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lowerLetter"/>
      <w:lvlText w:val="(%1)"/>
      <w:lvlJc w:val="left"/>
      <w:pPr>
        <w:ind w:left="220" w:hanging="420"/>
        <w:jc w:val="left"/>
      </w:pPr>
      <w:rPr>
        <w:rFonts w:hint="default" w:ascii="宋体" w:hAnsi="宋体" w:eastAsia="宋体" w:cs="宋体"/>
        <w:spacing w:val="0"/>
        <w:w w:val="99"/>
        <w:sz w:val="21"/>
        <w:szCs w:val="21"/>
        <w:lang w:val="zh-CN" w:eastAsia="zh-CN" w:bidi="zh-CN"/>
      </w:rPr>
    </w:lvl>
    <w:lvl w:ilvl="1">
      <w:start w:val="0"/>
      <w:numFmt w:val="bullet"/>
      <w:lvlText w:val="•"/>
      <w:lvlJc w:val="left"/>
      <w:pPr>
        <w:ind w:left="1072" w:hanging="420"/>
      </w:pPr>
      <w:rPr>
        <w:rFonts w:hint="default"/>
        <w:lang w:val="zh-CN" w:eastAsia="zh-CN" w:bidi="zh-CN"/>
      </w:rPr>
    </w:lvl>
    <w:lvl w:ilvl="2">
      <w:start w:val="0"/>
      <w:numFmt w:val="bullet"/>
      <w:lvlText w:val="•"/>
      <w:lvlJc w:val="left"/>
      <w:pPr>
        <w:ind w:left="1925" w:hanging="420"/>
      </w:pPr>
      <w:rPr>
        <w:rFonts w:hint="default"/>
        <w:lang w:val="zh-CN" w:eastAsia="zh-CN" w:bidi="zh-CN"/>
      </w:rPr>
    </w:lvl>
    <w:lvl w:ilvl="3">
      <w:start w:val="0"/>
      <w:numFmt w:val="bullet"/>
      <w:lvlText w:val="•"/>
      <w:lvlJc w:val="left"/>
      <w:pPr>
        <w:ind w:left="2777" w:hanging="420"/>
      </w:pPr>
      <w:rPr>
        <w:rFonts w:hint="default"/>
        <w:lang w:val="zh-CN" w:eastAsia="zh-CN" w:bidi="zh-CN"/>
      </w:rPr>
    </w:lvl>
    <w:lvl w:ilvl="4">
      <w:start w:val="0"/>
      <w:numFmt w:val="bullet"/>
      <w:lvlText w:val="•"/>
      <w:lvlJc w:val="left"/>
      <w:pPr>
        <w:ind w:left="3630" w:hanging="420"/>
      </w:pPr>
      <w:rPr>
        <w:rFonts w:hint="default"/>
        <w:lang w:val="zh-CN" w:eastAsia="zh-CN" w:bidi="zh-CN"/>
      </w:rPr>
    </w:lvl>
    <w:lvl w:ilvl="5">
      <w:start w:val="0"/>
      <w:numFmt w:val="bullet"/>
      <w:lvlText w:val="•"/>
      <w:lvlJc w:val="left"/>
      <w:pPr>
        <w:ind w:left="4483" w:hanging="420"/>
      </w:pPr>
      <w:rPr>
        <w:rFonts w:hint="default"/>
        <w:lang w:val="zh-CN" w:eastAsia="zh-CN" w:bidi="zh-CN"/>
      </w:rPr>
    </w:lvl>
    <w:lvl w:ilvl="6">
      <w:start w:val="0"/>
      <w:numFmt w:val="bullet"/>
      <w:lvlText w:val="•"/>
      <w:lvlJc w:val="left"/>
      <w:pPr>
        <w:ind w:left="5335" w:hanging="420"/>
      </w:pPr>
      <w:rPr>
        <w:rFonts w:hint="default"/>
        <w:lang w:val="zh-CN" w:eastAsia="zh-CN" w:bidi="zh-CN"/>
      </w:rPr>
    </w:lvl>
    <w:lvl w:ilvl="7">
      <w:start w:val="0"/>
      <w:numFmt w:val="bullet"/>
      <w:lvlText w:val="•"/>
      <w:lvlJc w:val="left"/>
      <w:pPr>
        <w:ind w:left="6188" w:hanging="420"/>
      </w:pPr>
      <w:rPr>
        <w:rFonts w:hint="default"/>
        <w:lang w:val="zh-CN" w:eastAsia="zh-CN" w:bidi="zh-CN"/>
      </w:rPr>
    </w:lvl>
    <w:lvl w:ilvl="8">
      <w:start w:val="0"/>
      <w:numFmt w:val="bullet"/>
      <w:lvlText w:val="•"/>
      <w:lvlJc w:val="left"/>
      <w:pPr>
        <w:ind w:left="7040" w:hanging="420"/>
      </w:pPr>
      <w:rPr>
        <w:rFonts w:hint="default"/>
        <w:lang w:val="zh-CN" w:eastAsia="zh-CN" w:bidi="zh-CN"/>
      </w:rPr>
    </w:lvl>
  </w:abstractNum>
  <w:abstractNum w:abstractNumId="17">
    <w:multiLevelType w:val="hybridMultilevel"/>
    <w:lvl w:ilvl="0">
      <w:start w:val="7"/>
      <w:numFmt w:val="decimal"/>
      <w:lvlText w:val="%1"/>
      <w:lvlJc w:val="left"/>
      <w:pPr>
        <w:ind w:left="220" w:hanging="526"/>
        <w:jc w:val="left"/>
      </w:pPr>
      <w:rPr>
        <w:rFonts w:hint="default"/>
        <w:lang w:val="zh-CN" w:eastAsia="zh-CN" w:bidi="zh-CN"/>
      </w:rPr>
    </w:lvl>
    <w:lvl w:ilvl="1">
      <w:start w:val="14"/>
      <w:numFmt w:val="decimal"/>
      <w:lvlText w:val="%1.%2"/>
      <w:lvlJc w:val="left"/>
      <w:pPr>
        <w:ind w:left="220" w:hanging="526"/>
        <w:jc w:val="left"/>
      </w:pPr>
      <w:rPr>
        <w:rFonts w:hint="default" w:ascii="宋体" w:hAnsi="宋体" w:eastAsia="宋体" w:cs="宋体"/>
        <w:spacing w:val="0"/>
        <w:w w:val="99"/>
        <w:sz w:val="21"/>
        <w:szCs w:val="21"/>
        <w:lang w:val="zh-CN" w:eastAsia="zh-CN" w:bidi="zh-CN"/>
      </w:rPr>
    </w:lvl>
    <w:lvl w:ilvl="2">
      <w:start w:val="0"/>
      <w:numFmt w:val="bullet"/>
      <w:lvlText w:val="•"/>
      <w:lvlJc w:val="left"/>
      <w:pPr>
        <w:ind w:left="1925" w:hanging="526"/>
      </w:pPr>
      <w:rPr>
        <w:rFonts w:hint="default"/>
        <w:lang w:val="zh-CN" w:eastAsia="zh-CN" w:bidi="zh-CN"/>
      </w:rPr>
    </w:lvl>
    <w:lvl w:ilvl="3">
      <w:start w:val="0"/>
      <w:numFmt w:val="bullet"/>
      <w:lvlText w:val="•"/>
      <w:lvlJc w:val="left"/>
      <w:pPr>
        <w:ind w:left="2777" w:hanging="526"/>
      </w:pPr>
      <w:rPr>
        <w:rFonts w:hint="default"/>
        <w:lang w:val="zh-CN" w:eastAsia="zh-CN" w:bidi="zh-CN"/>
      </w:rPr>
    </w:lvl>
    <w:lvl w:ilvl="4">
      <w:start w:val="0"/>
      <w:numFmt w:val="bullet"/>
      <w:lvlText w:val="•"/>
      <w:lvlJc w:val="left"/>
      <w:pPr>
        <w:ind w:left="3630" w:hanging="526"/>
      </w:pPr>
      <w:rPr>
        <w:rFonts w:hint="default"/>
        <w:lang w:val="zh-CN" w:eastAsia="zh-CN" w:bidi="zh-CN"/>
      </w:rPr>
    </w:lvl>
    <w:lvl w:ilvl="5">
      <w:start w:val="0"/>
      <w:numFmt w:val="bullet"/>
      <w:lvlText w:val="•"/>
      <w:lvlJc w:val="left"/>
      <w:pPr>
        <w:ind w:left="4483" w:hanging="526"/>
      </w:pPr>
      <w:rPr>
        <w:rFonts w:hint="default"/>
        <w:lang w:val="zh-CN" w:eastAsia="zh-CN" w:bidi="zh-CN"/>
      </w:rPr>
    </w:lvl>
    <w:lvl w:ilvl="6">
      <w:start w:val="0"/>
      <w:numFmt w:val="bullet"/>
      <w:lvlText w:val="•"/>
      <w:lvlJc w:val="left"/>
      <w:pPr>
        <w:ind w:left="5335" w:hanging="526"/>
      </w:pPr>
      <w:rPr>
        <w:rFonts w:hint="default"/>
        <w:lang w:val="zh-CN" w:eastAsia="zh-CN" w:bidi="zh-CN"/>
      </w:rPr>
    </w:lvl>
    <w:lvl w:ilvl="7">
      <w:start w:val="0"/>
      <w:numFmt w:val="bullet"/>
      <w:lvlText w:val="•"/>
      <w:lvlJc w:val="left"/>
      <w:pPr>
        <w:ind w:left="6188" w:hanging="526"/>
      </w:pPr>
      <w:rPr>
        <w:rFonts w:hint="default"/>
        <w:lang w:val="zh-CN" w:eastAsia="zh-CN" w:bidi="zh-CN"/>
      </w:rPr>
    </w:lvl>
    <w:lvl w:ilvl="8">
      <w:start w:val="0"/>
      <w:numFmt w:val="bullet"/>
      <w:lvlText w:val="•"/>
      <w:lvlJc w:val="left"/>
      <w:pPr>
        <w:ind w:left="7040" w:hanging="526"/>
      </w:pPr>
      <w:rPr>
        <w:rFonts w:hint="default"/>
        <w:lang w:val="zh-CN" w:eastAsia="zh-CN" w:bidi="zh-CN"/>
      </w:rPr>
    </w:lvl>
  </w:abstractNum>
  <w:abstractNum w:abstractNumId="16">
    <w:multiLevelType w:val="hybridMultilevel"/>
    <w:lvl w:ilvl="0">
      <w:start w:val="7"/>
      <w:numFmt w:val="decimal"/>
      <w:lvlText w:val="%1"/>
      <w:lvlJc w:val="left"/>
      <w:pPr>
        <w:ind w:left="220" w:hanging="526"/>
        <w:jc w:val="left"/>
      </w:pPr>
      <w:rPr>
        <w:rFonts w:hint="default"/>
        <w:lang w:val="zh-CN" w:eastAsia="zh-CN" w:bidi="zh-CN"/>
      </w:rPr>
    </w:lvl>
    <w:lvl w:ilvl="1">
      <w:start w:val="12"/>
      <w:numFmt w:val="decimal"/>
      <w:lvlText w:val="%1.%2"/>
      <w:lvlJc w:val="left"/>
      <w:pPr>
        <w:ind w:left="220" w:hanging="526"/>
        <w:jc w:val="left"/>
      </w:pPr>
      <w:rPr>
        <w:rFonts w:hint="default" w:ascii="宋体" w:hAnsi="宋体" w:eastAsia="宋体" w:cs="宋体"/>
        <w:spacing w:val="0"/>
        <w:w w:val="99"/>
        <w:sz w:val="21"/>
        <w:szCs w:val="21"/>
        <w:lang w:val="zh-CN" w:eastAsia="zh-CN" w:bidi="zh-CN"/>
      </w:rPr>
    </w:lvl>
    <w:lvl w:ilvl="2">
      <w:start w:val="0"/>
      <w:numFmt w:val="bullet"/>
      <w:lvlText w:val="•"/>
      <w:lvlJc w:val="left"/>
      <w:pPr>
        <w:ind w:left="1925" w:hanging="526"/>
      </w:pPr>
      <w:rPr>
        <w:rFonts w:hint="default"/>
        <w:lang w:val="zh-CN" w:eastAsia="zh-CN" w:bidi="zh-CN"/>
      </w:rPr>
    </w:lvl>
    <w:lvl w:ilvl="3">
      <w:start w:val="0"/>
      <w:numFmt w:val="bullet"/>
      <w:lvlText w:val="•"/>
      <w:lvlJc w:val="left"/>
      <w:pPr>
        <w:ind w:left="2777" w:hanging="526"/>
      </w:pPr>
      <w:rPr>
        <w:rFonts w:hint="default"/>
        <w:lang w:val="zh-CN" w:eastAsia="zh-CN" w:bidi="zh-CN"/>
      </w:rPr>
    </w:lvl>
    <w:lvl w:ilvl="4">
      <w:start w:val="0"/>
      <w:numFmt w:val="bullet"/>
      <w:lvlText w:val="•"/>
      <w:lvlJc w:val="left"/>
      <w:pPr>
        <w:ind w:left="3630" w:hanging="526"/>
      </w:pPr>
      <w:rPr>
        <w:rFonts w:hint="default"/>
        <w:lang w:val="zh-CN" w:eastAsia="zh-CN" w:bidi="zh-CN"/>
      </w:rPr>
    </w:lvl>
    <w:lvl w:ilvl="5">
      <w:start w:val="0"/>
      <w:numFmt w:val="bullet"/>
      <w:lvlText w:val="•"/>
      <w:lvlJc w:val="left"/>
      <w:pPr>
        <w:ind w:left="4483" w:hanging="526"/>
      </w:pPr>
      <w:rPr>
        <w:rFonts w:hint="default"/>
        <w:lang w:val="zh-CN" w:eastAsia="zh-CN" w:bidi="zh-CN"/>
      </w:rPr>
    </w:lvl>
    <w:lvl w:ilvl="6">
      <w:start w:val="0"/>
      <w:numFmt w:val="bullet"/>
      <w:lvlText w:val="•"/>
      <w:lvlJc w:val="left"/>
      <w:pPr>
        <w:ind w:left="5335" w:hanging="526"/>
      </w:pPr>
      <w:rPr>
        <w:rFonts w:hint="default"/>
        <w:lang w:val="zh-CN" w:eastAsia="zh-CN" w:bidi="zh-CN"/>
      </w:rPr>
    </w:lvl>
    <w:lvl w:ilvl="7">
      <w:start w:val="0"/>
      <w:numFmt w:val="bullet"/>
      <w:lvlText w:val="•"/>
      <w:lvlJc w:val="left"/>
      <w:pPr>
        <w:ind w:left="6188" w:hanging="526"/>
      </w:pPr>
      <w:rPr>
        <w:rFonts w:hint="default"/>
        <w:lang w:val="zh-CN" w:eastAsia="zh-CN" w:bidi="zh-CN"/>
      </w:rPr>
    </w:lvl>
    <w:lvl w:ilvl="8">
      <w:start w:val="0"/>
      <w:numFmt w:val="bullet"/>
      <w:lvlText w:val="•"/>
      <w:lvlJc w:val="left"/>
      <w:pPr>
        <w:ind w:left="7040" w:hanging="526"/>
      </w:pPr>
      <w:rPr>
        <w:rFonts w:hint="default"/>
        <w:lang w:val="zh-CN" w:eastAsia="zh-CN" w:bidi="zh-CN"/>
      </w:rPr>
    </w:lvl>
  </w:abstractNum>
  <w:abstractNum w:abstractNumId="15">
    <w:multiLevelType w:val="hybridMultilevel"/>
    <w:lvl w:ilvl="0">
      <w:start w:val="0"/>
      <w:numFmt w:val="bullet"/>
      <w:lvlText w:val=""/>
      <w:lvlJc w:val="left"/>
      <w:pPr>
        <w:ind w:left="527" w:hanging="420"/>
      </w:pPr>
      <w:rPr>
        <w:rFonts w:hint="default" w:ascii="Wingdings" w:hAnsi="Wingdings" w:eastAsia="Wingdings" w:cs="Wingdings"/>
        <w:w w:val="100"/>
        <w:sz w:val="18"/>
        <w:szCs w:val="18"/>
        <w:lang w:val="zh-CN" w:eastAsia="zh-CN" w:bidi="zh-CN"/>
      </w:rPr>
    </w:lvl>
    <w:lvl w:ilvl="1">
      <w:start w:val="0"/>
      <w:numFmt w:val="bullet"/>
      <w:lvlText w:val="•"/>
      <w:lvlJc w:val="left"/>
      <w:pPr>
        <w:ind w:left="1010" w:hanging="420"/>
      </w:pPr>
      <w:rPr>
        <w:rFonts w:hint="default"/>
        <w:lang w:val="zh-CN" w:eastAsia="zh-CN" w:bidi="zh-CN"/>
      </w:rPr>
    </w:lvl>
    <w:lvl w:ilvl="2">
      <w:start w:val="0"/>
      <w:numFmt w:val="bullet"/>
      <w:lvlText w:val="•"/>
      <w:lvlJc w:val="left"/>
      <w:pPr>
        <w:ind w:left="1501" w:hanging="420"/>
      </w:pPr>
      <w:rPr>
        <w:rFonts w:hint="default"/>
        <w:lang w:val="zh-CN" w:eastAsia="zh-CN" w:bidi="zh-CN"/>
      </w:rPr>
    </w:lvl>
    <w:lvl w:ilvl="3">
      <w:start w:val="0"/>
      <w:numFmt w:val="bullet"/>
      <w:lvlText w:val="•"/>
      <w:lvlJc w:val="left"/>
      <w:pPr>
        <w:ind w:left="1991" w:hanging="420"/>
      </w:pPr>
      <w:rPr>
        <w:rFonts w:hint="default"/>
        <w:lang w:val="zh-CN" w:eastAsia="zh-CN" w:bidi="zh-CN"/>
      </w:rPr>
    </w:lvl>
    <w:lvl w:ilvl="4">
      <w:start w:val="0"/>
      <w:numFmt w:val="bullet"/>
      <w:lvlText w:val="•"/>
      <w:lvlJc w:val="left"/>
      <w:pPr>
        <w:ind w:left="2482" w:hanging="420"/>
      </w:pPr>
      <w:rPr>
        <w:rFonts w:hint="default"/>
        <w:lang w:val="zh-CN" w:eastAsia="zh-CN" w:bidi="zh-CN"/>
      </w:rPr>
    </w:lvl>
    <w:lvl w:ilvl="5">
      <w:start w:val="0"/>
      <w:numFmt w:val="bullet"/>
      <w:lvlText w:val="•"/>
      <w:lvlJc w:val="left"/>
      <w:pPr>
        <w:ind w:left="2972" w:hanging="420"/>
      </w:pPr>
      <w:rPr>
        <w:rFonts w:hint="default"/>
        <w:lang w:val="zh-CN" w:eastAsia="zh-CN" w:bidi="zh-CN"/>
      </w:rPr>
    </w:lvl>
    <w:lvl w:ilvl="6">
      <w:start w:val="0"/>
      <w:numFmt w:val="bullet"/>
      <w:lvlText w:val="•"/>
      <w:lvlJc w:val="left"/>
      <w:pPr>
        <w:ind w:left="3463" w:hanging="420"/>
      </w:pPr>
      <w:rPr>
        <w:rFonts w:hint="default"/>
        <w:lang w:val="zh-CN" w:eastAsia="zh-CN" w:bidi="zh-CN"/>
      </w:rPr>
    </w:lvl>
    <w:lvl w:ilvl="7">
      <w:start w:val="0"/>
      <w:numFmt w:val="bullet"/>
      <w:lvlText w:val="•"/>
      <w:lvlJc w:val="left"/>
      <w:pPr>
        <w:ind w:left="3953" w:hanging="420"/>
      </w:pPr>
      <w:rPr>
        <w:rFonts w:hint="default"/>
        <w:lang w:val="zh-CN" w:eastAsia="zh-CN" w:bidi="zh-CN"/>
      </w:rPr>
    </w:lvl>
    <w:lvl w:ilvl="8">
      <w:start w:val="0"/>
      <w:numFmt w:val="bullet"/>
      <w:lvlText w:val="•"/>
      <w:lvlJc w:val="left"/>
      <w:pPr>
        <w:ind w:left="4444" w:hanging="420"/>
      </w:pPr>
      <w:rPr>
        <w:rFonts w:hint="default"/>
        <w:lang w:val="zh-CN" w:eastAsia="zh-CN" w:bidi="zh-CN"/>
      </w:rPr>
    </w:lvl>
  </w:abstractNum>
  <w:abstractNum w:abstractNumId="14">
    <w:multiLevelType w:val="hybridMultilevel"/>
    <w:lvl w:ilvl="0">
      <w:start w:val="0"/>
      <w:numFmt w:val="bullet"/>
      <w:lvlText w:val=""/>
      <w:lvlJc w:val="left"/>
      <w:pPr>
        <w:ind w:left="527" w:hanging="420"/>
      </w:pPr>
      <w:rPr>
        <w:rFonts w:hint="default" w:ascii="Wingdings" w:hAnsi="Wingdings" w:eastAsia="Wingdings" w:cs="Wingdings"/>
        <w:w w:val="100"/>
        <w:sz w:val="18"/>
        <w:szCs w:val="18"/>
        <w:lang w:val="zh-CN" w:eastAsia="zh-CN" w:bidi="zh-CN"/>
      </w:rPr>
    </w:lvl>
    <w:lvl w:ilvl="1">
      <w:start w:val="0"/>
      <w:numFmt w:val="bullet"/>
      <w:lvlText w:val="•"/>
      <w:lvlJc w:val="left"/>
      <w:pPr>
        <w:ind w:left="1010" w:hanging="420"/>
      </w:pPr>
      <w:rPr>
        <w:rFonts w:hint="default"/>
        <w:lang w:val="zh-CN" w:eastAsia="zh-CN" w:bidi="zh-CN"/>
      </w:rPr>
    </w:lvl>
    <w:lvl w:ilvl="2">
      <w:start w:val="0"/>
      <w:numFmt w:val="bullet"/>
      <w:lvlText w:val="•"/>
      <w:lvlJc w:val="left"/>
      <w:pPr>
        <w:ind w:left="1501" w:hanging="420"/>
      </w:pPr>
      <w:rPr>
        <w:rFonts w:hint="default"/>
        <w:lang w:val="zh-CN" w:eastAsia="zh-CN" w:bidi="zh-CN"/>
      </w:rPr>
    </w:lvl>
    <w:lvl w:ilvl="3">
      <w:start w:val="0"/>
      <w:numFmt w:val="bullet"/>
      <w:lvlText w:val="•"/>
      <w:lvlJc w:val="left"/>
      <w:pPr>
        <w:ind w:left="1991" w:hanging="420"/>
      </w:pPr>
      <w:rPr>
        <w:rFonts w:hint="default"/>
        <w:lang w:val="zh-CN" w:eastAsia="zh-CN" w:bidi="zh-CN"/>
      </w:rPr>
    </w:lvl>
    <w:lvl w:ilvl="4">
      <w:start w:val="0"/>
      <w:numFmt w:val="bullet"/>
      <w:lvlText w:val="•"/>
      <w:lvlJc w:val="left"/>
      <w:pPr>
        <w:ind w:left="2482" w:hanging="420"/>
      </w:pPr>
      <w:rPr>
        <w:rFonts w:hint="default"/>
        <w:lang w:val="zh-CN" w:eastAsia="zh-CN" w:bidi="zh-CN"/>
      </w:rPr>
    </w:lvl>
    <w:lvl w:ilvl="5">
      <w:start w:val="0"/>
      <w:numFmt w:val="bullet"/>
      <w:lvlText w:val="•"/>
      <w:lvlJc w:val="left"/>
      <w:pPr>
        <w:ind w:left="2972" w:hanging="420"/>
      </w:pPr>
      <w:rPr>
        <w:rFonts w:hint="default"/>
        <w:lang w:val="zh-CN" w:eastAsia="zh-CN" w:bidi="zh-CN"/>
      </w:rPr>
    </w:lvl>
    <w:lvl w:ilvl="6">
      <w:start w:val="0"/>
      <w:numFmt w:val="bullet"/>
      <w:lvlText w:val="•"/>
      <w:lvlJc w:val="left"/>
      <w:pPr>
        <w:ind w:left="3463" w:hanging="420"/>
      </w:pPr>
      <w:rPr>
        <w:rFonts w:hint="default"/>
        <w:lang w:val="zh-CN" w:eastAsia="zh-CN" w:bidi="zh-CN"/>
      </w:rPr>
    </w:lvl>
    <w:lvl w:ilvl="7">
      <w:start w:val="0"/>
      <w:numFmt w:val="bullet"/>
      <w:lvlText w:val="•"/>
      <w:lvlJc w:val="left"/>
      <w:pPr>
        <w:ind w:left="3953" w:hanging="420"/>
      </w:pPr>
      <w:rPr>
        <w:rFonts w:hint="default"/>
        <w:lang w:val="zh-CN" w:eastAsia="zh-CN" w:bidi="zh-CN"/>
      </w:rPr>
    </w:lvl>
    <w:lvl w:ilvl="8">
      <w:start w:val="0"/>
      <w:numFmt w:val="bullet"/>
      <w:lvlText w:val="•"/>
      <w:lvlJc w:val="left"/>
      <w:pPr>
        <w:ind w:left="4444" w:hanging="420"/>
      </w:pPr>
      <w:rPr>
        <w:rFonts w:hint="default"/>
        <w:lang w:val="zh-CN" w:eastAsia="zh-CN" w:bidi="zh-CN"/>
      </w:rPr>
    </w:lvl>
  </w:abstractNum>
  <w:abstractNum w:abstractNumId="13">
    <w:multiLevelType w:val="hybridMultilevel"/>
    <w:lvl w:ilvl="0">
      <w:start w:val="0"/>
      <w:numFmt w:val="bullet"/>
      <w:lvlText w:val="•"/>
      <w:lvlJc w:val="left"/>
      <w:pPr>
        <w:ind w:left="220" w:hanging="178"/>
      </w:pPr>
      <w:rPr>
        <w:rFonts w:hint="default" w:ascii="Arial" w:hAnsi="Arial" w:eastAsia="Arial" w:cs="Arial"/>
        <w:w w:val="99"/>
        <w:sz w:val="21"/>
        <w:szCs w:val="21"/>
        <w:lang w:val="zh-CN" w:eastAsia="zh-CN" w:bidi="zh-CN"/>
      </w:rPr>
    </w:lvl>
    <w:lvl w:ilvl="1">
      <w:start w:val="0"/>
      <w:numFmt w:val="bullet"/>
      <w:lvlText w:val="•"/>
      <w:lvlJc w:val="left"/>
      <w:pPr>
        <w:ind w:left="1072" w:hanging="178"/>
      </w:pPr>
      <w:rPr>
        <w:rFonts w:hint="default"/>
        <w:lang w:val="zh-CN" w:eastAsia="zh-CN" w:bidi="zh-CN"/>
      </w:rPr>
    </w:lvl>
    <w:lvl w:ilvl="2">
      <w:start w:val="0"/>
      <w:numFmt w:val="bullet"/>
      <w:lvlText w:val="•"/>
      <w:lvlJc w:val="left"/>
      <w:pPr>
        <w:ind w:left="1925" w:hanging="178"/>
      </w:pPr>
      <w:rPr>
        <w:rFonts w:hint="default"/>
        <w:lang w:val="zh-CN" w:eastAsia="zh-CN" w:bidi="zh-CN"/>
      </w:rPr>
    </w:lvl>
    <w:lvl w:ilvl="3">
      <w:start w:val="0"/>
      <w:numFmt w:val="bullet"/>
      <w:lvlText w:val="•"/>
      <w:lvlJc w:val="left"/>
      <w:pPr>
        <w:ind w:left="2777" w:hanging="178"/>
      </w:pPr>
      <w:rPr>
        <w:rFonts w:hint="default"/>
        <w:lang w:val="zh-CN" w:eastAsia="zh-CN" w:bidi="zh-CN"/>
      </w:rPr>
    </w:lvl>
    <w:lvl w:ilvl="4">
      <w:start w:val="0"/>
      <w:numFmt w:val="bullet"/>
      <w:lvlText w:val="•"/>
      <w:lvlJc w:val="left"/>
      <w:pPr>
        <w:ind w:left="3630" w:hanging="178"/>
      </w:pPr>
      <w:rPr>
        <w:rFonts w:hint="default"/>
        <w:lang w:val="zh-CN" w:eastAsia="zh-CN" w:bidi="zh-CN"/>
      </w:rPr>
    </w:lvl>
    <w:lvl w:ilvl="5">
      <w:start w:val="0"/>
      <w:numFmt w:val="bullet"/>
      <w:lvlText w:val="•"/>
      <w:lvlJc w:val="left"/>
      <w:pPr>
        <w:ind w:left="4483" w:hanging="178"/>
      </w:pPr>
      <w:rPr>
        <w:rFonts w:hint="default"/>
        <w:lang w:val="zh-CN" w:eastAsia="zh-CN" w:bidi="zh-CN"/>
      </w:rPr>
    </w:lvl>
    <w:lvl w:ilvl="6">
      <w:start w:val="0"/>
      <w:numFmt w:val="bullet"/>
      <w:lvlText w:val="•"/>
      <w:lvlJc w:val="left"/>
      <w:pPr>
        <w:ind w:left="5335" w:hanging="178"/>
      </w:pPr>
      <w:rPr>
        <w:rFonts w:hint="default"/>
        <w:lang w:val="zh-CN" w:eastAsia="zh-CN" w:bidi="zh-CN"/>
      </w:rPr>
    </w:lvl>
    <w:lvl w:ilvl="7">
      <w:start w:val="0"/>
      <w:numFmt w:val="bullet"/>
      <w:lvlText w:val="•"/>
      <w:lvlJc w:val="left"/>
      <w:pPr>
        <w:ind w:left="6188" w:hanging="178"/>
      </w:pPr>
      <w:rPr>
        <w:rFonts w:hint="default"/>
        <w:lang w:val="zh-CN" w:eastAsia="zh-CN" w:bidi="zh-CN"/>
      </w:rPr>
    </w:lvl>
    <w:lvl w:ilvl="8">
      <w:start w:val="0"/>
      <w:numFmt w:val="bullet"/>
      <w:lvlText w:val="•"/>
      <w:lvlJc w:val="left"/>
      <w:pPr>
        <w:ind w:left="7040" w:hanging="178"/>
      </w:pPr>
      <w:rPr>
        <w:rFonts w:hint="default"/>
        <w:lang w:val="zh-CN" w:eastAsia="zh-CN" w:bidi="zh-CN"/>
      </w:rPr>
    </w:lvl>
  </w:abstractNum>
  <w:abstractNum w:abstractNumId="12">
    <w:multiLevelType w:val="hybridMultilevel"/>
    <w:lvl w:ilvl="0">
      <w:start w:val="2"/>
      <w:numFmt w:val="decimal"/>
      <w:lvlText w:val="%1"/>
      <w:lvlJc w:val="left"/>
      <w:pPr>
        <w:ind w:left="220" w:hanging="526"/>
        <w:jc w:val="left"/>
      </w:pPr>
      <w:rPr>
        <w:rFonts w:hint="default"/>
        <w:lang w:val="zh-CN" w:eastAsia="zh-CN" w:bidi="zh-CN"/>
      </w:rPr>
    </w:lvl>
    <w:lvl w:ilvl="1">
      <w:start w:val="45"/>
      <w:numFmt w:val="decimal"/>
      <w:lvlText w:val="%1.%2"/>
      <w:lvlJc w:val="left"/>
      <w:pPr>
        <w:ind w:left="220" w:hanging="526"/>
        <w:jc w:val="left"/>
      </w:pPr>
      <w:rPr>
        <w:rFonts w:hint="default" w:ascii="宋体" w:hAnsi="宋体" w:eastAsia="宋体" w:cs="宋体"/>
        <w:spacing w:val="0"/>
        <w:w w:val="99"/>
        <w:sz w:val="21"/>
        <w:szCs w:val="21"/>
        <w:lang w:val="zh-CN" w:eastAsia="zh-CN" w:bidi="zh-CN"/>
      </w:rPr>
    </w:lvl>
    <w:lvl w:ilvl="2">
      <w:start w:val="0"/>
      <w:numFmt w:val="bullet"/>
      <w:lvlText w:val="•"/>
      <w:lvlJc w:val="left"/>
      <w:pPr>
        <w:ind w:left="1925" w:hanging="526"/>
      </w:pPr>
      <w:rPr>
        <w:rFonts w:hint="default"/>
        <w:lang w:val="zh-CN" w:eastAsia="zh-CN" w:bidi="zh-CN"/>
      </w:rPr>
    </w:lvl>
    <w:lvl w:ilvl="3">
      <w:start w:val="0"/>
      <w:numFmt w:val="bullet"/>
      <w:lvlText w:val="•"/>
      <w:lvlJc w:val="left"/>
      <w:pPr>
        <w:ind w:left="2777" w:hanging="526"/>
      </w:pPr>
      <w:rPr>
        <w:rFonts w:hint="default"/>
        <w:lang w:val="zh-CN" w:eastAsia="zh-CN" w:bidi="zh-CN"/>
      </w:rPr>
    </w:lvl>
    <w:lvl w:ilvl="4">
      <w:start w:val="0"/>
      <w:numFmt w:val="bullet"/>
      <w:lvlText w:val="•"/>
      <w:lvlJc w:val="left"/>
      <w:pPr>
        <w:ind w:left="3630" w:hanging="526"/>
      </w:pPr>
      <w:rPr>
        <w:rFonts w:hint="default"/>
        <w:lang w:val="zh-CN" w:eastAsia="zh-CN" w:bidi="zh-CN"/>
      </w:rPr>
    </w:lvl>
    <w:lvl w:ilvl="5">
      <w:start w:val="0"/>
      <w:numFmt w:val="bullet"/>
      <w:lvlText w:val="•"/>
      <w:lvlJc w:val="left"/>
      <w:pPr>
        <w:ind w:left="4483" w:hanging="526"/>
      </w:pPr>
      <w:rPr>
        <w:rFonts w:hint="default"/>
        <w:lang w:val="zh-CN" w:eastAsia="zh-CN" w:bidi="zh-CN"/>
      </w:rPr>
    </w:lvl>
    <w:lvl w:ilvl="6">
      <w:start w:val="0"/>
      <w:numFmt w:val="bullet"/>
      <w:lvlText w:val="•"/>
      <w:lvlJc w:val="left"/>
      <w:pPr>
        <w:ind w:left="5335" w:hanging="526"/>
      </w:pPr>
      <w:rPr>
        <w:rFonts w:hint="default"/>
        <w:lang w:val="zh-CN" w:eastAsia="zh-CN" w:bidi="zh-CN"/>
      </w:rPr>
    </w:lvl>
    <w:lvl w:ilvl="7">
      <w:start w:val="0"/>
      <w:numFmt w:val="bullet"/>
      <w:lvlText w:val="•"/>
      <w:lvlJc w:val="left"/>
      <w:pPr>
        <w:ind w:left="6188" w:hanging="526"/>
      </w:pPr>
      <w:rPr>
        <w:rFonts w:hint="default"/>
        <w:lang w:val="zh-CN" w:eastAsia="zh-CN" w:bidi="zh-CN"/>
      </w:rPr>
    </w:lvl>
    <w:lvl w:ilvl="8">
      <w:start w:val="0"/>
      <w:numFmt w:val="bullet"/>
      <w:lvlText w:val="•"/>
      <w:lvlJc w:val="left"/>
      <w:pPr>
        <w:ind w:left="7040" w:hanging="526"/>
      </w:pPr>
      <w:rPr>
        <w:rFonts w:hint="default"/>
        <w:lang w:val="zh-CN" w:eastAsia="zh-CN" w:bidi="zh-CN"/>
      </w:rPr>
    </w:lvl>
  </w:abstractNum>
  <w:abstractNum w:abstractNumId="11">
    <w:multiLevelType w:val="hybridMultilevel"/>
    <w:lvl w:ilvl="0">
      <w:start w:val="1"/>
      <w:numFmt w:val="lowerLetter"/>
      <w:lvlText w:val="(%1)"/>
      <w:lvlJc w:val="left"/>
      <w:pPr>
        <w:ind w:left="640" w:hanging="420"/>
        <w:jc w:val="left"/>
      </w:pPr>
      <w:rPr>
        <w:rFonts w:hint="default" w:ascii="宋体" w:hAnsi="宋体" w:eastAsia="宋体" w:cs="宋体"/>
        <w:spacing w:val="0"/>
        <w:w w:val="99"/>
        <w:sz w:val="21"/>
        <w:szCs w:val="21"/>
        <w:lang w:val="zh-CN" w:eastAsia="zh-CN" w:bidi="zh-CN"/>
      </w:rPr>
    </w:lvl>
    <w:lvl w:ilvl="1">
      <w:start w:val="0"/>
      <w:numFmt w:val="bullet"/>
      <w:lvlText w:val="•"/>
      <w:lvlJc w:val="left"/>
      <w:pPr>
        <w:ind w:left="1450" w:hanging="420"/>
      </w:pPr>
      <w:rPr>
        <w:rFonts w:hint="default"/>
        <w:lang w:val="zh-CN" w:eastAsia="zh-CN" w:bidi="zh-CN"/>
      </w:rPr>
    </w:lvl>
    <w:lvl w:ilvl="2">
      <w:start w:val="0"/>
      <w:numFmt w:val="bullet"/>
      <w:lvlText w:val="•"/>
      <w:lvlJc w:val="left"/>
      <w:pPr>
        <w:ind w:left="2261" w:hanging="420"/>
      </w:pPr>
      <w:rPr>
        <w:rFonts w:hint="default"/>
        <w:lang w:val="zh-CN" w:eastAsia="zh-CN" w:bidi="zh-CN"/>
      </w:rPr>
    </w:lvl>
    <w:lvl w:ilvl="3">
      <w:start w:val="0"/>
      <w:numFmt w:val="bullet"/>
      <w:lvlText w:val="•"/>
      <w:lvlJc w:val="left"/>
      <w:pPr>
        <w:ind w:left="3071" w:hanging="420"/>
      </w:pPr>
      <w:rPr>
        <w:rFonts w:hint="default"/>
        <w:lang w:val="zh-CN" w:eastAsia="zh-CN" w:bidi="zh-CN"/>
      </w:rPr>
    </w:lvl>
    <w:lvl w:ilvl="4">
      <w:start w:val="0"/>
      <w:numFmt w:val="bullet"/>
      <w:lvlText w:val="•"/>
      <w:lvlJc w:val="left"/>
      <w:pPr>
        <w:ind w:left="3882" w:hanging="420"/>
      </w:pPr>
      <w:rPr>
        <w:rFonts w:hint="default"/>
        <w:lang w:val="zh-CN" w:eastAsia="zh-CN" w:bidi="zh-CN"/>
      </w:rPr>
    </w:lvl>
    <w:lvl w:ilvl="5">
      <w:start w:val="0"/>
      <w:numFmt w:val="bullet"/>
      <w:lvlText w:val="•"/>
      <w:lvlJc w:val="left"/>
      <w:pPr>
        <w:ind w:left="4693" w:hanging="420"/>
      </w:pPr>
      <w:rPr>
        <w:rFonts w:hint="default"/>
        <w:lang w:val="zh-CN" w:eastAsia="zh-CN" w:bidi="zh-CN"/>
      </w:rPr>
    </w:lvl>
    <w:lvl w:ilvl="6">
      <w:start w:val="0"/>
      <w:numFmt w:val="bullet"/>
      <w:lvlText w:val="•"/>
      <w:lvlJc w:val="left"/>
      <w:pPr>
        <w:ind w:left="5503" w:hanging="420"/>
      </w:pPr>
      <w:rPr>
        <w:rFonts w:hint="default"/>
        <w:lang w:val="zh-CN" w:eastAsia="zh-CN" w:bidi="zh-CN"/>
      </w:rPr>
    </w:lvl>
    <w:lvl w:ilvl="7">
      <w:start w:val="0"/>
      <w:numFmt w:val="bullet"/>
      <w:lvlText w:val="•"/>
      <w:lvlJc w:val="left"/>
      <w:pPr>
        <w:ind w:left="6314" w:hanging="420"/>
      </w:pPr>
      <w:rPr>
        <w:rFonts w:hint="default"/>
        <w:lang w:val="zh-CN" w:eastAsia="zh-CN" w:bidi="zh-CN"/>
      </w:rPr>
    </w:lvl>
    <w:lvl w:ilvl="8">
      <w:start w:val="0"/>
      <w:numFmt w:val="bullet"/>
      <w:lvlText w:val="•"/>
      <w:lvlJc w:val="left"/>
      <w:pPr>
        <w:ind w:left="7124" w:hanging="420"/>
      </w:pPr>
      <w:rPr>
        <w:rFonts w:hint="default"/>
        <w:lang w:val="zh-CN" w:eastAsia="zh-CN" w:bidi="zh-CN"/>
      </w:rPr>
    </w:lvl>
  </w:abstractNum>
  <w:abstractNum w:abstractNumId="10">
    <w:multiLevelType w:val="hybridMultilevel"/>
    <w:lvl w:ilvl="0">
      <w:start w:val="1"/>
      <w:numFmt w:val="lowerLetter"/>
      <w:lvlText w:val="(%1)"/>
      <w:lvlJc w:val="left"/>
      <w:pPr>
        <w:ind w:left="220" w:hanging="420"/>
        <w:jc w:val="left"/>
      </w:pPr>
      <w:rPr>
        <w:rFonts w:hint="default" w:ascii="宋体" w:hAnsi="宋体" w:eastAsia="宋体" w:cs="宋体"/>
        <w:spacing w:val="0"/>
        <w:w w:val="99"/>
        <w:sz w:val="21"/>
        <w:szCs w:val="21"/>
        <w:lang w:val="zh-CN" w:eastAsia="zh-CN" w:bidi="zh-CN"/>
      </w:rPr>
    </w:lvl>
    <w:lvl w:ilvl="1">
      <w:start w:val="0"/>
      <w:numFmt w:val="bullet"/>
      <w:lvlText w:val="•"/>
      <w:lvlJc w:val="left"/>
      <w:pPr>
        <w:ind w:left="1072" w:hanging="420"/>
      </w:pPr>
      <w:rPr>
        <w:rFonts w:hint="default"/>
        <w:lang w:val="zh-CN" w:eastAsia="zh-CN" w:bidi="zh-CN"/>
      </w:rPr>
    </w:lvl>
    <w:lvl w:ilvl="2">
      <w:start w:val="0"/>
      <w:numFmt w:val="bullet"/>
      <w:lvlText w:val="•"/>
      <w:lvlJc w:val="left"/>
      <w:pPr>
        <w:ind w:left="1925" w:hanging="420"/>
      </w:pPr>
      <w:rPr>
        <w:rFonts w:hint="default"/>
        <w:lang w:val="zh-CN" w:eastAsia="zh-CN" w:bidi="zh-CN"/>
      </w:rPr>
    </w:lvl>
    <w:lvl w:ilvl="3">
      <w:start w:val="0"/>
      <w:numFmt w:val="bullet"/>
      <w:lvlText w:val="•"/>
      <w:lvlJc w:val="left"/>
      <w:pPr>
        <w:ind w:left="2777" w:hanging="420"/>
      </w:pPr>
      <w:rPr>
        <w:rFonts w:hint="default"/>
        <w:lang w:val="zh-CN" w:eastAsia="zh-CN" w:bidi="zh-CN"/>
      </w:rPr>
    </w:lvl>
    <w:lvl w:ilvl="4">
      <w:start w:val="0"/>
      <w:numFmt w:val="bullet"/>
      <w:lvlText w:val="•"/>
      <w:lvlJc w:val="left"/>
      <w:pPr>
        <w:ind w:left="3630" w:hanging="420"/>
      </w:pPr>
      <w:rPr>
        <w:rFonts w:hint="default"/>
        <w:lang w:val="zh-CN" w:eastAsia="zh-CN" w:bidi="zh-CN"/>
      </w:rPr>
    </w:lvl>
    <w:lvl w:ilvl="5">
      <w:start w:val="0"/>
      <w:numFmt w:val="bullet"/>
      <w:lvlText w:val="•"/>
      <w:lvlJc w:val="left"/>
      <w:pPr>
        <w:ind w:left="4483" w:hanging="420"/>
      </w:pPr>
      <w:rPr>
        <w:rFonts w:hint="default"/>
        <w:lang w:val="zh-CN" w:eastAsia="zh-CN" w:bidi="zh-CN"/>
      </w:rPr>
    </w:lvl>
    <w:lvl w:ilvl="6">
      <w:start w:val="0"/>
      <w:numFmt w:val="bullet"/>
      <w:lvlText w:val="•"/>
      <w:lvlJc w:val="left"/>
      <w:pPr>
        <w:ind w:left="5335" w:hanging="420"/>
      </w:pPr>
      <w:rPr>
        <w:rFonts w:hint="default"/>
        <w:lang w:val="zh-CN" w:eastAsia="zh-CN" w:bidi="zh-CN"/>
      </w:rPr>
    </w:lvl>
    <w:lvl w:ilvl="7">
      <w:start w:val="0"/>
      <w:numFmt w:val="bullet"/>
      <w:lvlText w:val="•"/>
      <w:lvlJc w:val="left"/>
      <w:pPr>
        <w:ind w:left="6188" w:hanging="420"/>
      </w:pPr>
      <w:rPr>
        <w:rFonts w:hint="default"/>
        <w:lang w:val="zh-CN" w:eastAsia="zh-CN" w:bidi="zh-CN"/>
      </w:rPr>
    </w:lvl>
    <w:lvl w:ilvl="8">
      <w:start w:val="0"/>
      <w:numFmt w:val="bullet"/>
      <w:lvlText w:val="•"/>
      <w:lvlJc w:val="left"/>
      <w:pPr>
        <w:ind w:left="7040" w:hanging="420"/>
      </w:pPr>
      <w:rPr>
        <w:rFonts w:hint="default"/>
        <w:lang w:val="zh-CN" w:eastAsia="zh-CN" w:bidi="zh-CN"/>
      </w:rPr>
    </w:lvl>
  </w:abstractNum>
  <w:abstractNum w:abstractNumId="9">
    <w:multiLevelType w:val="hybridMultilevel"/>
    <w:lvl w:ilvl="0">
      <w:start w:val="1"/>
      <w:numFmt w:val="lowerLetter"/>
      <w:lvlText w:val="(%1)"/>
      <w:lvlJc w:val="left"/>
      <w:pPr>
        <w:ind w:left="640" w:hanging="420"/>
        <w:jc w:val="left"/>
      </w:pPr>
      <w:rPr>
        <w:rFonts w:hint="default" w:ascii="宋体" w:hAnsi="宋体" w:eastAsia="宋体" w:cs="宋体"/>
        <w:spacing w:val="0"/>
        <w:w w:val="99"/>
        <w:sz w:val="21"/>
        <w:szCs w:val="21"/>
        <w:lang w:val="zh-CN" w:eastAsia="zh-CN" w:bidi="zh-CN"/>
      </w:rPr>
    </w:lvl>
    <w:lvl w:ilvl="1">
      <w:start w:val="0"/>
      <w:numFmt w:val="bullet"/>
      <w:lvlText w:val="•"/>
      <w:lvlJc w:val="left"/>
      <w:pPr>
        <w:ind w:left="1450" w:hanging="420"/>
      </w:pPr>
      <w:rPr>
        <w:rFonts w:hint="default"/>
        <w:lang w:val="zh-CN" w:eastAsia="zh-CN" w:bidi="zh-CN"/>
      </w:rPr>
    </w:lvl>
    <w:lvl w:ilvl="2">
      <w:start w:val="0"/>
      <w:numFmt w:val="bullet"/>
      <w:lvlText w:val="•"/>
      <w:lvlJc w:val="left"/>
      <w:pPr>
        <w:ind w:left="2261" w:hanging="420"/>
      </w:pPr>
      <w:rPr>
        <w:rFonts w:hint="default"/>
        <w:lang w:val="zh-CN" w:eastAsia="zh-CN" w:bidi="zh-CN"/>
      </w:rPr>
    </w:lvl>
    <w:lvl w:ilvl="3">
      <w:start w:val="0"/>
      <w:numFmt w:val="bullet"/>
      <w:lvlText w:val="•"/>
      <w:lvlJc w:val="left"/>
      <w:pPr>
        <w:ind w:left="3071" w:hanging="420"/>
      </w:pPr>
      <w:rPr>
        <w:rFonts w:hint="default"/>
        <w:lang w:val="zh-CN" w:eastAsia="zh-CN" w:bidi="zh-CN"/>
      </w:rPr>
    </w:lvl>
    <w:lvl w:ilvl="4">
      <w:start w:val="0"/>
      <w:numFmt w:val="bullet"/>
      <w:lvlText w:val="•"/>
      <w:lvlJc w:val="left"/>
      <w:pPr>
        <w:ind w:left="3882" w:hanging="420"/>
      </w:pPr>
      <w:rPr>
        <w:rFonts w:hint="default"/>
        <w:lang w:val="zh-CN" w:eastAsia="zh-CN" w:bidi="zh-CN"/>
      </w:rPr>
    </w:lvl>
    <w:lvl w:ilvl="5">
      <w:start w:val="0"/>
      <w:numFmt w:val="bullet"/>
      <w:lvlText w:val="•"/>
      <w:lvlJc w:val="left"/>
      <w:pPr>
        <w:ind w:left="4693" w:hanging="420"/>
      </w:pPr>
      <w:rPr>
        <w:rFonts w:hint="default"/>
        <w:lang w:val="zh-CN" w:eastAsia="zh-CN" w:bidi="zh-CN"/>
      </w:rPr>
    </w:lvl>
    <w:lvl w:ilvl="6">
      <w:start w:val="0"/>
      <w:numFmt w:val="bullet"/>
      <w:lvlText w:val="•"/>
      <w:lvlJc w:val="left"/>
      <w:pPr>
        <w:ind w:left="5503" w:hanging="420"/>
      </w:pPr>
      <w:rPr>
        <w:rFonts w:hint="default"/>
        <w:lang w:val="zh-CN" w:eastAsia="zh-CN" w:bidi="zh-CN"/>
      </w:rPr>
    </w:lvl>
    <w:lvl w:ilvl="7">
      <w:start w:val="0"/>
      <w:numFmt w:val="bullet"/>
      <w:lvlText w:val="•"/>
      <w:lvlJc w:val="left"/>
      <w:pPr>
        <w:ind w:left="6314" w:hanging="420"/>
      </w:pPr>
      <w:rPr>
        <w:rFonts w:hint="default"/>
        <w:lang w:val="zh-CN" w:eastAsia="zh-CN" w:bidi="zh-CN"/>
      </w:rPr>
    </w:lvl>
    <w:lvl w:ilvl="8">
      <w:start w:val="0"/>
      <w:numFmt w:val="bullet"/>
      <w:lvlText w:val="•"/>
      <w:lvlJc w:val="left"/>
      <w:pPr>
        <w:ind w:left="7124" w:hanging="420"/>
      </w:pPr>
      <w:rPr>
        <w:rFonts w:hint="default"/>
        <w:lang w:val="zh-CN" w:eastAsia="zh-CN" w:bidi="zh-CN"/>
      </w:rPr>
    </w:lvl>
  </w:abstractNum>
  <w:abstractNum w:abstractNumId="8">
    <w:multiLevelType w:val="hybridMultilevel"/>
    <w:lvl w:ilvl="0">
      <w:start w:val="1"/>
      <w:numFmt w:val="decimal"/>
      <w:lvlText w:val="%1"/>
      <w:lvlJc w:val="left"/>
      <w:pPr>
        <w:ind w:left="745" w:hanging="526"/>
        <w:jc w:val="left"/>
      </w:pPr>
      <w:rPr>
        <w:rFonts w:hint="default"/>
        <w:lang w:val="zh-CN" w:eastAsia="zh-CN" w:bidi="zh-CN"/>
      </w:rPr>
    </w:lvl>
    <w:lvl w:ilvl="1">
      <w:start w:val="4"/>
      <w:numFmt w:val="decimal"/>
      <w:lvlText w:val="%1.%2."/>
      <w:lvlJc w:val="left"/>
      <w:pPr>
        <w:ind w:left="745" w:hanging="526"/>
        <w:jc w:val="left"/>
      </w:pPr>
      <w:rPr>
        <w:rFonts w:hint="default" w:ascii="宋体" w:hAnsi="宋体" w:eastAsia="宋体" w:cs="宋体"/>
        <w:spacing w:val="0"/>
        <w:w w:val="99"/>
        <w:sz w:val="21"/>
        <w:szCs w:val="21"/>
        <w:lang w:val="zh-CN" w:eastAsia="zh-CN" w:bidi="zh-CN"/>
      </w:rPr>
    </w:lvl>
    <w:lvl w:ilvl="2">
      <w:start w:val="0"/>
      <w:numFmt w:val="bullet"/>
      <w:lvlText w:val="•"/>
      <w:lvlJc w:val="left"/>
      <w:pPr>
        <w:ind w:left="2341" w:hanging="526"/>
      </w:pPr>
      <w:rPr>
        <w:rFonts w:hint="default"/>
        <w:lang w:val="zh-CN" w:eastAsia="zh-CN" w:bidi="zh-CN"/>
      </w:rPr>
    </w:lvl>
    <w:lvl w:ilvl="3">
      <w:start w:val="0"/>
      <w:numFmt w:val="bullet"/>
      <w:lvlText w:val="•"/>
      <w:lvlJc w:val="left"/>
      <w:pPr>
        <w:ind w:left="3141" w:hanging="526"/>
      </w:pPr>
      <w:rPr>
        <w:rFonts w:hint="default"/>
        <w:lang w:val="zh-CN" w:eastAsia="zh-CN" w:bidi="zh-CN"/>
      </w:rPr>
    </w:lvl>
    <w:lvl w:ilvl="4">
      <w:start w:val="0"/>
      <w:numFmt w:val="bullet"/>
      <w:lvlText w:val="•"/>
      <w:lvlJc w:val="left"/>
      <w:pPr>
        <w:ind w:left="3942" w:hanging="526"/>
      </w:pPr>
      <w:rPr>
        <w:rFonts w:hint="default"/>
        <w:lang w:val="zh-CN" w:eastAsia="zh-CN" w:bidi="zh-CN"/>
      </w:rPr>
    </w:lvl>
    <w:lvl w:ilvl="5">
      <w:start w:val="0"/>
      <w:numFmt w:val="bullet"/>
      <w:lvlText w:val="•"/>
      <w:lvlJc w:val="left"/>
      <w:pPr>
        <w:ind w:left="4743" w:hanging="526"/>
      </w:pPr>
      <w:rPr>
        <w:rFonts w:hint="default"/>
        <w:lang w:val="zh-CN" w:eastAsia="zh-CN" w:bidi="zh-CN"/>
      </w:rPr>
    </w:lvl>
    <w:lvl w:ilvl="6">
      <w:start w:val="0"/>
      <w:numFmt w:val="bullet"/>
      <w:lvlText w:val="•"/>
      <w:lvlJc w:val="left"/>
      <w:pPr>
        <w:ind w:left="5543" w:hanging="526"/>
      </w:pPr>
      <w:rPr>
        <w:rFonts w:hint="default"/>
        <w:lang w:val="zh-CN" w:eastAsia="zh-CN" w:bidi="zh-CN"/>
      </w:rPr>
    </w:lvl>
    <w:lvl w:ilvl="7">
      <w:start w:val="0"/>
      <w:numFmt w:val="bullet"/>
      <w:lvlText w:val="•"/>
      <w:lvlJc w:val="left"/>
      <w:pPr>
        <w:ind w:left="6344" w:hanging="526"/>
      </w:pPr>
      <w:rPr>
        <w:rFonts w:hint="default"/>
        <w:lang w:val="zh-CN" w:eastAsia="zh-CN" w:bidi="zh-CN"/>
      </w:rPr>
    </w:lvl>
    <w:lvl w:ilvl="8">
      <w:start w:val="0"/>
      <w:numFmt w:val="bullet"/>
      <w:lvlText w:val="•"/>
      <w:lvlJc w:val="left"/>
      <w:pPr>
        <w:ind w:left="7144" w:hanging="526"/>
      </w:pPr>
      <w:rPr>
        <w:rFonts w:hint="default"/>
        <w:lang w:val="zh-CN" w:eastAsia="zh-CN" w:bidi="zh-CN"/>
      </w:rPr>
    </w:lvl>
  </w:abstractNum>
  <w:abstractNum w:abstractNumId="7">
    <w:multiLevelType w:val="hybridMultilevel"/>
    <w:lvl w:ilvl="0">
      <w:start w:val="1"/>
      <w:numFmt w:val="lowerLetter"/>
      <w:lvlText w:val="(%1)"/>
      <w:lvlJc w:val="left"/>
      <w:pPr>
        <w:ind w:left="220" w:hanging="420"/>
        <w:jc w:val="left"/>
      </w:pPr>
      <w:rPr>
        <w:rFonts w:hint="default" w:ascii="宋体" w:hAnsi="宋体" w:eastAsia="宋体" w:cs="宋体"/>
        <w:spacing w:val="0"/>
        <w:w w:val="99"/>
        <w:sz w:val="21"/>
        <w:szCs w:val="21"/>
        <w:lang w:val="zh-CN" w:eastAsia="zh-CN" w:bidi="zh-CN"/>
      </w:rPr>
    </w:lvl>
    <w:lvl w:ilvl="1">
      <w:start w:val="0"/>
      <w:numFmt w:val="bullet"/>
      <w:lvlText w:val="•"/>
      <w:lvlJc w:val="left"/>
      <w:pPr>
        <w:ind w:left="1072" w:hanging="420"/>
      </w:pPr>
      <w:rPr>
        <w:rFonts w:hint="default"/>
        <w:lang w:val="zh-CN" w:eastAsia="zh-CN" w:bidi="zh-CN"/>
      </w:rPr>
    </w:lvl>
    <w:lvl w:ilvl="2">
      <w:start w:val="0"/>
      <w:numFmt w:val="bullet"/>
      <w:lvlText w:val="•"/>
      <w:lvlJc w:val="left"/>
      <w:pPr>
        <w:ind w:left="1925" w:hanging="420"/>
      </w:pPr>
      <w:rPr>
        <w:rFonts w:hint="default"/>
        <w:lang w:val="zh-CN" w:eastAsia="zh-CN" w:bidi="zh-CN"/>
      </w:rPr>
    </w:lvl>
    <w:lvl w:ilvl="3">
      <w:start w:val="0"/>
      <w:numFmt w:val="bullet"/>
      <w:lvlText w:val="•"/>
      <w:lvlJc w:val="left"/>
      <w:pPr>
        <w:ind w:left="2777" w:hanging="420"/>
      </w:pPr>
      <w:rPr>
        <w:rFonts w:hint="default"/>
        <w:lang w:val="zh-CN" w:eastAsia="zh-CN" w:bidi="zh-CN"/>
      </w:rPr>
    </w:lvl>
    <w:lvl w:ilvl="4">
      <w:start w:val="0"/>
      <w:numFmt w:val="bullet"/>
      <w:lvlText w:val="•"/>
      <w:lvlJc w:val="left"/>
      <w:pPr>
        <w:ind w:left="3630" w:hanging="420"/>
      </w:pPr>
      <w:rPr>
        <w:rFonts w:hint="default"/>
        <w:lang w:val="zh-CN" w:eastAsia="zh-CN" w:bidi="zh-CN"/>
      </w:rPr>
    </w:lvl>
    <w:lvl w:ilvl="5">
      <w:start w:val="0"/>
      <w:numFmt w:val="bullet"/>
      <w:lvlText w:val="•"/>
      <w:lvlJc w:val="left"/>
      <w:pPr>
        <w:ind w:left="4483" w:hanging="420"/>
      </w:pPr>
      <w:rPr>
        <w:rFonts w:hint="default"/>
        <w:lang w:val="zh-CN" w:eastAsia="zh-CN" w:bidi="zh-CN"/>
      </w:rPr>
    </w:lvl>
    <w:lvl w:ilvl="6">
      <w:start w:val="0"/>
      <w:numFmt w:val="bullet"/>
      <w:lvlText w:val="•"/>
      <w:lvlJc w:val="left"/>
      <w:pPr>
        <w:ind w:left="5335" w:hanging="420"/>
      </w:pPr>
      <w:rPr>
        <w:rFonts w:hint="default"/>
        <w:lang w:val="zh-CN" w:eastAsia="zh-CN" w:bidi="zh-CN"/>
      </w:rPr>
    </w:lvl>
    <w:lvl w:ilvl="7">
      <w:start w:val="0"/>
      <w:numFmt w:val="bullet"/>
      <w:lvlText w:val="•"/>
      <w:lvlJc w:val="left"/>
      <w:pPr>
        <w:ind w:left="6188" w:hanging="420"/>
      </w:pPr>
      <w:rPr>
        <w:rFonts w:hint="default"/>
        <w:lang w:val="zh-CN" w:eastAsia="zh-CN" w:bidi="zh-CN"/>
      </w:rPr>
    </w:lvl>
    <w:lvl w:ilvl="8">
      <w:start w:val="0"/>
      <w:numFmt w:val="bullet"/>
      <w:lvlText w:val="•"/>
      <w:lvlJc w:val="left"/>
      <w:pPr>
        <w:ind w:left="7040" w:hanging="420"/>
      </w:pPr>
      <w:rPr>
        <w:rFonts w:hint="default"/>
        <w:lang w:val="zh-CN" w:eastAsia="zh-CN" w:bidi="zh-CN"/>
      </w:rPr>
    </w:lvl>
  </w:abstractNum>
  <w:abstractNum w:abstractNumId="6">
    <w:multiLevelType w:val="hybridMultilevel"/>
    <w:lvl w:ilvl="0">
      <w:start w:val="1"/>
      <w:numFmt w:val="lowerLetter"/>
      <w:lvlText w:val="(%1)"/>
      <w:lvlJc w:val="left"/>
      <w:pPr>
        <w:ind w:left="220" w:hanging="420"/>
        <w:jc w:val="left"/>
      </w:pPr>
      <w:rPr>
        <w:rFonts w:hint="default" w:ascii="宋体" w:hAnsi="宋体" w:eastAsia="宋体" w:cs="宋体"/>
        <w:spacing w:val="0"/>
        <w:w w:val="99"/>
        <w:sz w:val="21"/>
        <w:szCs w:val="21"/>
        <w:lang w:val="zh-CN" w:eastAsia="zh-CN" w:bidi="zh-CN"/>
      </w:rPr>
    </w:lvl>
    <w:lvl w:ilvl="1">
      <w:start w:val="0"/>
      <w:numFmt w:val="bullet"/>
      <w:lvlText w:val="•"/>
      <w:lvlJc w:val="left"/>
      <w:pPr>
        <w:ind w:left="1072" w:hanging="420"/>
      </w:pPr>
      <w:rPr>
        <w:rFonts w:hint="default"/>
        <w:lang w:val="zh-CN" w:eastAsia="zh-CN" w:bidi="zh-CN"/>
      </w:rPr>
    </w:lvl>
    <w:lvl w:ilvl="2">
      <w:start w:val="0"/>
      <w:numFmt w:val="bullet"/>
      <w:lvlText w:val="•"/>
      <w:lvlJc w:val="left"/>
      <w:pPr>
        <w:ind w:left="1925" w:hanging="420"/>
      </w:pPr>
      <w:rPr>
        <w:rFonts w:hint="default"/>
        <w:lang w:val="zh-CN" w:eastAsia="zh-CN" w:bidi="zh-CN"/>
      </w:rPr>
    </w:lvl>
    <w:lvl w:ilvl="3">
      <w:start w:val="0"/>
      <w:numFmt w:val="bullet"/>
      <w:lvlText w:val="•"/>
      <w:lvlJc w:val="left"/>
      <w:pPr>
        <w:ind w:left="2777" w:hanging="420"/>
      </w:pPr>
      <w:rPr>
        <w:rFonts w:hint="default"/>
        <w:lang w:val="zh-CN" w:eastAsia="zh-CN" w:bidi="zh-CN"/>
      </w:rPr>
    </w:lvl>
    <w:lvl w:ilvl="4">
      <w:start w:val="0"/>
      <w:numFmt w:val="bullet"/>
      <w:lvlText w:val="•"/>
      <w:lvlJc w:val="left"/>
      <w:pPr>
        <w:ind w:left="3630" w:hanging="420"/>
      </w:pPr>
      <w:rPr>
        <w:rFonts w:hint="default"/>
        <w:lang w:val="zh-CN" w:eastAsia="zh-CN" w:bidi="zh-CN"/>
      </w:rPr>
    </w:lvl>
    <w:lvl w:ilvl="5">
      <w:start w:val="0"/>
      <w:numFmt w:val="bullet"/>
      <w:lvlText w:val="•"/>
      <w:lvlJc w:val="left"/>
      <w:pPr>
        <w:ind w:left="4483" w:hanging="420"/>
      </w:pPr>
      <w:rPr>
        <w:rFonts w:hint="default"/>
        <w:lang w:val="zh-CN" w:eastAsia="zh-CN" w:bidi="zh-CN"/>
      </w:rPr>
    </w:lvl>
    <w:lvl w:ilvl="6">
      <w:start w:val="0"/>
      <w:numFmt w:val="bullet"/>
      <w:lvlText w:val="•"/>
      <w:lvlJc w:val="left"/>
      <w:pPr>
        <w:ind w:left="5335" w:hanging="420"/>
      </w:pPr>
      <w:rPr>
        <w:rFonts w:hint="default"/>
        <w:lang w:val="zh-CN" w:eastAsia="zh-CN" w:bidi="zh-CN"/>
      </w:rPr>
    </w:lvl>
    <w:lvl w:ilvl="7">
      <w:start w:val="0"/>
      <w:numFmt w:val="bullet"/>
      <w:lvlText w:val="•"/>
      <w:lvlJc w:val="left"/>
      <w:pPr>
        <w:ind w:left="6188" w:hanging="420"/>
      </w:pPr>
      <w:rPr>
        <w:rFonts w:hint="default"/>
        <w:lang w:val="zh-CN" w:eastAsia="zh-CN" w:bidi="zh-CN"/>
      </w:rPr>
    </w:lvl>
    <w:lvl w:ilvl="8">
      <w:start w:val="0"/>
      <w:numFmt w:val="bullet"/>
      <w:lvlText w:val="•"/>
      <w:lvlJc w:val="left"/>
      <w:pPr>
        <w:ind w:left="7040" w:hanging="420"/>
      </w:pPr>
      <w:rPr>
        <w:rFonts w:hint="default"/>
        <w:lang w:val="zh-CN" w:eastAsia="zh-CN" w:bidi="zh-CN"/>
      </w:rPr>
    </w:lvl>
  </w:abstractNum>
  <w:abstractNum w:abstractNumId="5">
    <w:multiLevelType w:val="hybridMultilevel"/>
    <w:lvl w:ilvl="0">
      <w:start w:val="1"/>
      <w:numFmt w:val="decimal"/>
      <w:lvlText w:val="%1"/>
      <w:lvlJc w:val="left"/>
      <w:pPr>
        <w:ind w:left="220" w:hanging="526"/>
        <w:jc w:val="left"/>
      </w:pPr>
      <w:rPr>
        <w:rFonts w:hint="default"/>
        <w:lang w:val="zh-CN" w:eastAsia="zh-CN" w:bidi="zh-CN"/>
      </w:rPr>
    </w:lvl>
    <w:lvl w:ilvl="1">
      <w:start w:val="1"/>
      <w:numFmt w:val="decimal"/>
      <w:lvlText w:val="%1.%2."/>
      <w:lvlJc w:val="left"/>
      <w:pPr>
        <w:ind w:left="220" w:hanging="526"/>
        <w:jc w:val="left"/>
      </w:pPr>
      <w:rPr>
        <w:rFonts w:hint="default" w:ascii="宋体" w:hAnsi="宋体" w:eastAsia="宋体" w:cs="宋体"/>
        <w:spacing w:val="0"/>
        <w:w w:val="99"/>
        <w:sz w:val="21"/>
        <w:szCs w:val="21"/>
        <w:lang w:val="zh-CN" w:eastAsia="zh-CN" w:bidi="zh-CN"/>
      </w:rPr>
    </w:lvl>
    <w:lvl w:ilvl="2">
      <w:start w:val="0"/>
      <w:numFmt w:val="bullet"/>
      <w:lvlText w:val="•"/>
      <w:lvlJc w:val="left"/>
      <w:pPr>
        <w:ind w:left="1925" w:hanging="526"/>
      </w:pPr>
      <w:rPr>
        <w:rFonts w:hint="default"/>
        <w:lang w:val="zh-CN" w:eastAsia="zh-CN" w:bidi="zh-CN"/>
      </w:rPr>
    </w:lvl>
    <w:lvl w:ilvl="3">
      <w:start w:val="0"/>
      <w:numFmt w:val="bullet"/>
      <w:lvlText w:val="•"/>
      <w:lvlJc w:val="left"/>
      <w:pPr>
        <w:ind w:left="2777" w:hanging="526"/>
      </w:pPr>
      <w:rPr>
        <w:rFonts w:hint="default"/>
        <w:lang w:val="zh-CN" w:eastAsia="zh-CN" w:bidi="zh-CN"/>
      </w:rPr>
    </w:lvl>
    <w:lvl w:ilvl="4">
      <w:start w:val="0"/>
      <w:numFmt w:val="bullet"/>
      <w:lvlText w:val="•"/>
      <w:lvlJc w:val="left"/>
      <w:pPr>
        <w:ind w:left="3630" w:hanging="526"/>
      </w:pPr>
      <w:rPr>
        <w:rFonts w:hint="default"/>
        <w:lang w:val="zh-CN" w:eastAsia="zh-CN" w:bidi="zh-CN"/>
      </w:rPr>
    </w:lvl>
    <w:lvl w:ilvl="5">
      <w:start w:val="0"/>
      <w:numFmt w:val="bullet"/>
      <w:lvlText w:val="•"/>
      <w:lvlJc w:val="left"/>
      <w:pPr>
        <w:ind w:left="4483" w:hanging="526"/>
      </w:pPr>
      <w:rPr>
        <w:rFonts w:hint="default"/>
        <w:lang w:val="zh-CN" w:eastAsia="zh-CN" w:bidi="zh-CN"/>
      </w:rPr>
    </w:lvl>
    <w:lvl w:ilvl="6">
      <w:start w:val="0"/>
      <w:numFmt w:val="bullet"/>
      <w:lvlText w:val="•"/>
      <w:lvlJc w:val="left"/>
      <w:pPr>
        <w:ind w:left="5335" w:hanging="526"/>
      </w:pPr>
      <w:rPr>
        <w:rFonts w:hint="default"/>
        <w:lang w:val="zh-CN" w:eastAsia="zh-CN" w:bidi="zh-CN"/>
      </w:rPr>
    </w:lvl>
    <w:lvl w:ilvl="7">
      <w:start w:val="0"/>
      <w:numFmt w:val="bullet"/>
      <w:lvlText w:val="•"/>
      <w:lvlJc w:val="left"/>
      <w:pPr>
        <w:ind w:left="6188" w:hanging="526"/>
      </w:pPr>
      <w:rPr>
        <w:rFonts w:hint="default"/>
        <w:lang w:val="zh-CN" w:eastAsia="zh-CN" w:bidi="zh-CN"/>
      </w:rPr>
    </w:lvl>
    <w:lvl w:ilvl="8">
      <w:start w:val="0"/>
      <w:numFmt w:val="bullet"/>
      <w:lvlText w:val="•"/>
      <w:lvlJc w:val="left"/>
      <w:pPr>
        <w:ind w:left="7040" w:hanging="526"/>
      </w:pPr>
      <w:rPr>
        <w:rFonts w:hint="default"/>
        <w:lang w:val="zh-CN" w:eastAsia="zh-CN" w:bidi="zh-CN"/>
      </w:rPr>
    </w:lvl>
  </w:abstractNum>
  <w:abstractNum w:abstractNumId="4">
    <w:multiLevelType w:val="hybridMultilevel"/>
    <w:lvl w:ilvl="0">
      <w:start w:val="1"/>
      <w:numFmt w:val="upperRoman"/>
      <w:lvlText w:val="%1."/>
      <w:lvlJc w:val="left"/>
      <w:pPr>
        <w:ind w:left="536" w:hanging="317"/>
        <w:jc w:val="left"/>
      </w:pPr>
      <w:rPr>
        <w:rFonts w:hint="default"/>
        <w:b/>
        <w:bCs/>
        <w:spacing w:val="0"/>
        <w:w w:val="162"/>
        <w:lang w:val="zh-CN" w:eastAsia="zh-CN" w:bidi="zh-CN"/>
      </w:rPr>
    </w:lvl>
    <w:lvl w:ilvl="1">
      <w:start w:val="1"/>
      <w:numFmt w:val="decimal"/>
      <w:lvlText w:val="%2."/>
      <w:lvlJc w:val="left"/>
      <w:pPr>
        <w:ind w:left="1000" w:hanging="360"/>
        <w:jc w:val="left"/>
      </w:pPr>
      <w:rPr>
        <w:rFonts w:hint="default" w:ascii="宋体" w:hAnsi="宋体" w:eastAsia="宋体" w:cs="宋体"/>
        <w:spacing w:val="0"/>
        <w:w w:val="99"/>
        <w:sz w:val="21"/>
        <w:szCs w:val="21"/>
        <w:lang w:val="zh-CN" w:eastAsia="zh-CN" w:bidi="zh-CN"/>
      </w:rPr>
    </w:lvl>
    <w:lvl w:ilvl="2">
      <w:start w:val="0"/>
      <w:numFmt w:val="bullet"/>
      <w:lvlText w:val="•"/>
      <w:lvlJc w:val="left"/>
      <w:pPr>
        <w:ind w:left="1860" w:hanging="360"/>
      </w:pPr>
      <w:rPr>
        <w:rFonts w:hint="default"/>
        <w:lang w:val="zh-CN" w:eastAsia="zh-CN" w:bidi="zh-CN"/>
      </w:rPr>
    </w:lvl>
    <w:lvl w:ilvl="3">
      <w:start w:val="0"/>
      <w:numFmt w:val="bullet"/>
      <w:lvlText w:val="•"/>
      <w:lvlJc w:val="left"/>
      <w:pPr>
        <w:ind w:left="2721" w:hanging="360"/>
      </w:pPr>
      <w:rPr>
        <w:rFonts w:hint="default"/>
        <w:lang w:val="zh-CN" w:eastAsia="zh-CN" w:bidi="zh-CN"/>
      </w:rPr>
    </w:lvl>
    <w:lvl w:ilvl="4">
      <w:start w:val="0"/>
      <w:numFmt w:val="bullet"/>
      <w:lvlText w:val="•"/>
      <w:lvlJc w:val="left"/>
      <w:pPr>
        <w:ind w:left="3582" w:hanging="360"/>
      </w:pPr>
      <w:rPr>
        <w:rFonts w:hint="default"/>
        <w:lang w:val="zh-CN" w:eastAsia="zh-CN" w:bidi="zh-CN"/>
      </w:rPr>
    </w:lvl>
    <w:lvl w:ilvl="5">
      <w:start w:val="0"/>
      <w:numFmt w:val="bullet"/>
      <w:lvlText w:val="•"/>
      <w:lvlJc w:val="left"/>
      <w:pPr>
        <w:ind w:left="4442" w:hanging="360"/>
      </w:pPr>
      <w:rPr>
        <w:rFonts w:hint="default"/>
        <w:lang w:val="zh-CN" w:eastAsia="zh-CN" w:bidi="zh-CN"/>
      </w:rPr>
    </w:lvl>
    <w:lvl w:ilvl="6">
      <w:start w:val="0"/>
      <w:numFmt w:val="bullet"/>
      <w:lvlText w:val="•"/>
      <w:lvlJc w:val="left"/>
      <w:pPr>
        <w:ind w:left="5303" w:hanging="360"/>
      </w:pPr>
      <w:rPr>
        <w:rFonts w:hint="default"/>
        <w:lang w:val="zh-CN" w:eastAsia="zh-CN" w:bidi="zh-CN"/>
      </w:rPr>
    </w:lvl>
    <w:lvl w:ilvl="7">
      <w:start w:val="0"/>
      <w:numFmt w:val="bullet"/>
      <w:lvlText w:val="•"/>
      <w:lvlJc w:val="left"/>
      <w:pPr>
        <w:ind w:left="6164" w:hanging="360"/>
      </w:pPr>
      <w:rPr>
        <w:rFonts w:hint="default"/>
        <w:lang w:val="zh-CN" w:eastAsia="zh-CN" w:bidi="zh-CN"/>
      </w:rPr>
    </w:lvl>
    <w:lvl w:ilvl="8">
      <w:start w:val="0"/>
      <w:numFmt w:val="bullet"/>
      <w:lvlText w:val="•"/>
      <w:lvlJc w:val="left"/>
      <w:pPr>
        <w:ind w:left="7024" w:hanging="360"/>
      </w:pPr>
      <w:rPr>
        <w:rFonts w:hint="default"/>
        <w:lang w:val="zh-CN" w:eastAsia="zh-CN" w:bidi="zh-CN"/>
      </w:rPr>
    </w:lvl>
  </w:abstractNum>
  <w:abstractNum w:abstractNumId="3">
    <w:multiLevelType w:val="hybridMultilevel"/>
    <w:lvl w:ilvl="0">
      <w:start w:val="0"/>
      <w:numFmt w:val="bullet"/>
      <w:lvlText w:val="•"/>
      <w:lvlJc w:val="left"/>
      <w:pPr>
        <w:ind w:left="940" w:hanging="360"/>
      </w:pPr>
      <w:rPr>
        <w:rFonts w:hint="default" w:ascii="Times New Roman" w:hAnsi="Times New Roman" w:eastAsia="Times New Roman" w:cs="Times New Roman"/>
        <w:w w:val="99"/>
        <w:sz w:val="21"/>
        <w:szCs w:val="21"/>
        <w:lang w:val="zh-CN" w:eastAsia="zh-CN" w:bidi="zh-CN"/>
      </w:rPr>
    </w:lvl>
    <w:lvl w:ilvl="1">
      <w:start w:val="0"/>
      <w:numFmt w:val="bullet"/>
      <w:lvlText w:val="•"/>
      <w:lvlJc w:val="left"/>
      <w:pPr>
        <w:ind w:left="1720" w:hanging="360"/>
      </w:pPr>
      <w:rPr>
        <w:rFonts w:hint="default"/>
        <w:lang w:val="zh-CN" w:eastAsia="zh-CN" w:bidi="zh-CN"/>
      </w:rPr>
    </w:lvl>
    <w:lvl w:ilvl="2">
      <w:start w:val="0"/>
      <w:numFmt w:val="bullet"/>
      <w:lvlText w:val="•"/>
      <w:lvlJc w:val="left"/>
      <w:pPr>
        <w:ind w:left="2501" w:hanging="360"/>
      </w:pPr>
      <w:rPr>
        <w:rFonts w:hint="default"/>
        <w:lang w:val="zh-CN" w:eastAsia="zh-CN" w:bidi="zh-CN"/>
      </w:rPr>
    </w:lvl>
    <w:lvl w:ilvl="3">
      <w:start w:val="0"/>
      <w:numFmt w:val="bullet"/>
      <w:lvlText w:val="•"/>
      <w:lvlJc w:val="left"/>
      <w:pPr>
        <w:ind w:left="3281" w:hanging="360"/>
      </w:pPr>
      <w:rPr>
        <w:rFonts w:hint="default"/>
        <w:lang w:val="zh-CN" w:eastAsia="zh-CN" w:bidi="zh-CN"/>
      </w:rPr>
    </w:lvl>
    <w:lvl w:ilvl="4">
      <w:start w:val="0"/>
      <w:numFmt w:val="bullet"/>
      <w:lvlText w:val="•"/>
      <w:lvlJc w:val="left"/>
      <w:pPr>
        <w:ind w:left="4062" w:hanging="360"/>
      </w:pPr>
      <w:rPr>
        <w:rFonts w:hint="default"/>
        <w:lang w:val="zh-CN" w:eastAsia="zh-CN" w:bidi="zh-CN"/>
      </w:rPr>
    </w:lvl>
    <w:lvl w:ilvl="5">
      <w:start w:val="0"/>
      <w:numFmt w:val="bullet"/>
      <w:lvlText w:val="•"/>
      <w:lvlJc w:val="left"/>
      <w:pPr>
        <w:ind w:left="4843" w:hanging="360"/>
      </w:pPr>
      <w:rPr>
        <w:rFonts w:hint="default"/>
        <w:lang w:val="zh-CN" w:eastAsia="zh-CN" w:bidi="zh-CN"/>
      </w:rPr>
    </w:lvl>
    <w:lvl w:ilvl="6">
      <w:start w:val="0"/>
      <w:numFmt w:val="bullet"/>
      <w:lvlText w:val="•"/>
      <w:lvlJc w:val="left"/>
      <w:pPr>
        <w:ind w:left="5623" w:hanging="360"/>
      </w:pPr>
      <w:rPr>
        <w:rFonts w:hint="default"/>
        <w:lang w:val="zh-CN" w:eastAsia="zh-CN" w:bidi="zh-CN"/>
      </w:rPr>
    </w:lvl>
    <w:lvl w:ilvl="7">
      <w:start w:val="0"/>
      <w:numFmt w:val="bullet"/>
      <w:lvlText w:val="•"/>
      <w:lvlJc w:val="left"/>
      <w:pPr>
        <w:ind w:left="6404" w:hanging="360"/>
      </w:pPr>
      <w:rPr>
        <w:rFonts w:hint="default"/>
        <w:lang w:val="zh-CN" w:eastAsia="zh-CN" w:bidi="zh-CN"/>
      </w:rPr>
    </w:lvl>
    <w:lvl w:ilvl="8">
      <w:start w:val="0"/>
      <w:numFmt w:val="bullet"/>
      <w:lvlText w:val="•"/>
      <w:lvlJc w:val="left"/>
      <w:pPr>
        <w:ind w:left="7184" w:hanging="360"/>
      </w:pPr>
      <w:rPr>
        <w:rFonts w:hint="default"/>
        <w:lang w:val="zh-CN" w:eastAsia="zh-CN" w:bidi="zh-CN"/>
      </w:rPr>
    </w:lvl>
  </w:abstractNum>
  <w:abstractNum w:abstractNumId="2">
    <w:multiLevelType w:val="hybridMultilevel"/>
    <w:lvl w:ilvl="0">
      <w:start w:val="1"/>
      <w:numFmt w:val="decimal"/>
      <w:lvlText w:val="（%1）"/>
      <w:lvlJc w:val="left"/>
      <w:pPr>
        <w:ind w:left="1164" w:hanging="525"/>
        <w:jc w:val="left"/>
      </w:pPr>
      <w:rPr>
        <w:rFonts w:hint="default" w:ascii="宋体" w:hAnsi="宋体" w:eastAsia="宋体" w:cs="宋体"/>
        <w:spacing w:val="-1"/>
        <w:w w:val="99"/>
        <w:sz w:val="19"/>
        <w:szCs w:val="19"/>
        <w:lang w:val="zh-CN" w:eastAsia="zh-CN" w:bidi="zh-CN"/>
      </w:rPr>
    </w:lvl>
    <w:lvl w:ilvl="1">
      <w:start w:val="0"/>
      <w:numFmt w:val="bullet"/>
      <w:lvlText w:val=""/>
      <w:lvlJc w:val="left"/>
      <w:pPr>
        <w:ind w:left="1268" w:hanging="420"/>
      </w:pPr>
      <w:rPr>
        <w:rFonts w:hint="default" w:ascii="Wingdings" w:hAnsi="Wingdings" w:eastAsia="Wingdings" w:cs="Wingdings"/>
        <w:w w:val="99"/>
        <w:sz w:val="21"/>
        <w:szCs w:val="21"/>
        <w:lang w:val="zh-CN" w:eastAsia="zh-CN" w:bidi="zh-CN"/>
      </w:rPr>
    </w:lvl>
    <w:lvl w:ilvl="2">
      <w:start w:val="0"/>
      <w:numFmt w:val="bullet"/>
      <w:lvlText w:val="•"/>
      <w:lvlJc w:val="left"/>
      <w:pPr>
        <w:ind w:left="2091" w:hanging="420"/>
      </w:pPr>
      <w:rPr>
        <w:rFonts w:hint="default"/>
        <w:lang w:val="zh-CN" w:eastAsia="zh-CN" w:bidi="zh-CN"/>
      </w:rPr>
    </w:lvl>
    <w:lvl w:ilvl="3">
      <w:start w:val="0"/>
      <w:numFmt w:val="bullet"/>
      <w:lvlText w:val="•"/>
      <w:lvlJc w:val="left"/>
      <w:pPr>
        <w:ind w:left="2923" w:hanging="420"/>
      </w:pPr>
      <w:rPr>
        <w:rFonts w:hint="default"/>
        <w:lang w:val="zh-CN" w:eastAsia="zh-CN" w:bidi="zh-CN"/>
      </w:rPr>
    </w:lvl>
    <w:lvl w:ilvl="4">
      <w:start w:val="0"/>
      <w:numFmt w:val="bullet"/>
      <w:lvlText w:val="•"/>
      <w:lvlJc w:val="left"/>
      <w:pPr>
        <w:ind w:left="3755" w:hanging="420"/>
      </w:pPr>
      <w:rPr>
        <w:rFonts w:hint="default"/>
        <w:lang w:val="zh-CN" w:eastAsia="zh-CN" w:bidi="zh-CN"/>
      </w:rPr>
    </w:lvl>
    <w:lvl w:ilvl="5">
      <w:start w:val="0"/>
      <w:numFmt w:val="bullet"/>
      <w:lvlText w:val="•"/>
      <w:lvlJc w:val="left"/>
      <w:pPr>
        <w:ind w:left="4587" w:hanging="420"/>
      </w:pPr>
      <w:rPr>
        <w:rFonts w:hint="default"/>
        <w:lang w:val="zh-CN" w:eastAsia="zh-CN" w:bidi="zh-CN"/>
      </w:rPr>
    </w:lvl>
    <w:lvl w:ilvl="6">
      <w:start w:val="0"/>
      <w:numFmt w:val="bullet"/>
      <w:lvlText w:val="•"/>
      <w:lvlJc w:val="left"/>
      <w:pPr>
        <w:ind w:left="5418" w:hanging="420"/>
      </w:pPr>
      <w:rPr>
        <w:rFonts w:hint="default"/>
        <w:lang w:val="zh-CN" w:eastAsia="zh-CN" w:bidi="zh-CN"/>
      </w:rPr>
    </w:lvl>
    <w:lvl w:ilvl="7">
      <w:start w:val="0"/>
      <w:numFmt w:val="bullet"/>
      <w:lvlText w:val="•"/>
      <w:lvlJc w:val="left"/>
      <w:pPr>
        <w:ind w:left="6250" w:hanging="420"/>
      </w:pPr>
      <w:rPr>
        <w:rFonts w:hint="default"/>
        <w:lang w:val="zh-CN" w:eastAsia="zh-CN" w:bidi="zh-CN"/>
      </w:rPr>
    </w:lvl>
    <w:lvl w:ilvl="8">
      <w:start w:val="0"/>
      <w:numFmt w:val="bullet"/>
      <w:lvlText w:val="•"/>
      <w:lvlJc w:val="left"/>
      <w:pPr>
        <w:ind w:left="7082" w:hanging="420"/>
      </w:pPr>
      <w:rPr>
        <w:rFonts w:hint="default"/>
        <w:lang w:val="zh-CN" w:eastAsia="zh-CN" w:bidi="zh-CN"/>
      </w:rPr>
    </w:lvl>
  </w:abstractNum>
  <w:abstractNum w:abstractNumId="1">
    <w:multiLevelType w:val="hybridMultilevel"/>
    <w:lvl w:ilvl="0">
      <w:start w:val="0"/>
      <w:numFmt w:val="bullet"/>
      <w:lvlText w:val=""/>
      <w:lvlJc w:val="left"/>
      <w:pPr>
        <w:ind w:left="1060" w:hanging="420"/>
      </w:pPr>
      <w:rPr>
        <w:rFonts w:hint="default" w:ascii="Wingdings" w:hAnsi="Wingdings" w:eastAsia="Wingdings" w:cs="Wingdings"/>
        <w:w w:val="99"/>
        <w:sz w:val="21"/>
        <w:szCs w:val="21"/>
        <w:lang w:val="zh-CN" w:eastAsia="zh-CN" w:bidi="zh-CN"/>
      </w:rPr>
    </w:lvl>
    <w:lvl w:ilvl="1">
      <w:start w:val="0"/>
      <w:numFmt w:val="bullet"/>
      <w:lvlText w:val="•"/>
      <w:lvlJc w:val="left"/>
      <w:pPr>
        <w:ind w:left="1828" w:hanging="420"/>
      </w:pPr>
      <w:rPr>
        <w:rFonts w:hint="default"/>
        <w:lang w:val="zh-CN" w:eastAsia="zh-CN" w:bidi="zh-CN"/>
      </w:rPr>
    </w:lvl>
    <w:lvl w:ilvl="2">
      <w:start w:val="0"/>
      <w:numFmt w:val="bullet"/>
      <w:lvlText w:val="•"/>
      <w:lvlJc w:val="left"/>
      <w:pPr>
        <w:ind w:left="2597" w:hanging="420"/>
      </w:pPr>
      <w:rPr>
        <w:rFonts w:hint="default"/>
        <w:lang w:val="zh-CN" w:eastAsia="zh-CN" w:bidi="zh-CN"/>
      </w:rPr>
    </w:lvl>
    <w:lvl w:ilvl="3">
      <w:start w:val="0"/>
      <w:numFmt w:val="bullet"/>
      <w:lvlText w:val="•"/>
      <w:lvlJc w:val="left"/>
      <w:pPr>
        <w:ind w:left="3365" w:hanging="420"/>
      </w:pPr>
      <w:rPr>
        <w:rFonts w:hint="default"/>
        <w:lang w:val="zh-CN" w:eastAsia="zh-CN" w:bidi="zh-CN"/>
      </w:rPr>
    </w:lvl>
    <w:lvl w:ilvl="4">
      <w:start w:val="0"/>
      <w:numFmt w:val="bullet"/>
      <w:lvlText w:val="•"/>
      <w:lvlJc w:val="left"/>
      <w:pPr>
        <w:ind w:left="4134" w:hanging="420"/>
      </w:pPr>
      <w:rPr>
        <w:rFonts w:hint="default"/>
        <w:lang w:val="zh-CN" w:eastAsia="zh-CN" w:bidi="zh-CN"/>
      </w:rPr>
    </w:lvl>
    <w:lvl w:ilvl="5">
      <w:start w:val="0"/>
      <w:numFmt w:val="bullet"/>
      <w:lvlText w:val="•"/>
      <w:lvlJc w:val="left"/>
      <w:pPr>
        <w:ind w:left="4903" w:hanging="420"/>
      </w:pPr>
      <w:rPr>
        <w:rFonts w:hint="default"/>
        <w:lang w:val="zh-CN" w:eastAsia="zh-CN" w:bidi="zh-CN"/>
      </w:rPr>
    </w:lvl>
    <w:lvl w:ilvl="6">
      <w:start w:val="0"/>
      <w:numFmt w:val="bullet"/>
      <w:lvlText w:val="•"/>
      <w:lvlJc w:val="left"/>
      <w:pPr>
        <w:ind w:left="5671" w:hanging="420"/>
      </w:pPr>
      <w:rPr>
        <w:rFonts w:hint="default"/>
        <w:lang w:val="zh-CN" w:eastAsia="zh-CN" w:bidi="zh-CN"/>
      </w:rPr>
    </w:lvl>
    <w:lvl w:ilvl="7">
      <w:start w:val="0"/>
      <w:numFmt w:val="bullet"/>
      <w:lvlText w:val="•"/>
      <w:lvlJc w:val="left"/>
      <w:pPr>
        <w:ind w:left="6440" w:hanging="420"/>
      </w:pPr>
      <w:rPr>
        <w:rFonts w:hint="default"/>
        <w:lang w:val="zh-CN" w:eastAsia="zh-CN" w:bidi="zh-CN"/>
      </w:rPr>
    </w:lvl>
    <w:lvl w:ilvl="8">
      <w:start w:val="0"/>
      <w:numFmt w:val="bullet"/>
      <w:lvlText w:val="•"/>
      <w:lvlJc w:val="left"/>
      <w:pPr>
        <w:ind w:left="7208" w:hanging="420"/>
      </w:pPr>
      <w:rPr>
        <w:rFonts w:hint="default"/>
        <w:lang w:val="zh-CN" w:eastAsia="zh-CN" w:bidi="zh-CN"/>
      </w:rPr>
    </w:lvl>
  </w:abstractNum>
  <w:abstractNum w:abstractNumId="0">
    <w:multiLevelType w:val="hybridMultilevel"/>
    <w:lvl w:ilvl="0">
      <w:start w:val="1"/>
      <w:numFmt w:val="decimal"/>
      <w:lvlText w:val="%1."/>
      <w:lvlJc w:val="left"/>
      <w:pPr>
        <w:ind w:left="851" w:hanging="212"/>
        <w:jc w:val="left"/>
      </w:pPr>
      <w:rPr>
        <w:rFonts w:hint="default" w:ascii="宋体" w:hAnsi="宋体" w:eastAsia="宋体" w:cs="宋体"/>
        <w:spacing w:val="-2"/>
        <w:w w:val="99"/>
        <w:sz w:val="19"/>
        <w:szCs w:val="19"/>
        <w:lang w:val="zh-CN" w:eastAsia="zh-CN" w:bidi="zh-CN"/>
      </w:rPr>
    </w:lvl>
    <w:lvl w:ilvl="1">
      <w:start w:val="0"/>
      <w:numFmt w:val="bullet"/>
      <w:lvlText w:val="•"/>
      <w:lvlJc w:val="left"/>
      <w:pPr>
        <w:ind w:left="1648" w:hanging="212"/>
      </w:pPr>
      <w:rPr>
        <w:rFonts w:hint="default"/>
        <w:lang w:val="zh-CN" w:eastAsia="zh-CN" w:bidi="zh-CN"/>
      </w:rPr>
    </w:lvl>
    <w:lvl w:ilvl="2">
      <w:start w:val="0"/>
      <w:numFmt w:val="bullet"/>
      <w:lvlText w:val="•"/>
      <w:lvlJc w:val="left"/>
      <w:pPr>
        <w:ind w:left="2437" w:hanging="212"/>
      </w:pPr>
      <w:rPr>
        <w:rFonts w:hint="default"/>
        <w:lang w:val="zh-CN" w:eastAsia="zh-CN" w:bidi="zh-CN"/>
      </w:rPr>
    </w:lvl>
    <w:lvl w:ilvl="3">
      <w:start w:val="0"/>
      <w:numFmt w:val="bullet"/>
      <w:lvlText w:val="•"/>
      <w:lvlJc w:val="left"/>
      <w:pPr>
        <w:ind w:left="3225" w:hanging="212"/>
      </w:pPr>
      <w:rPr>
        <w:rFonts w:hint="default"/>
        <w:lang w:val="zh-CN" w:eastAsia="zh-CN" w:bidi="zh-CN"/>
      </w:rPr>
    </w:lvl>
    <w:lvl w:ilvl="4">
      <w:start w:val="0"/>
      <w:numFmt w:val="bullet"/>
      <w:lvlText w:val="•"/>
      <w:lvlJc w:val="left"/>
      <w:pPr>
        <w:ind w:left="4014" w:hanging="212"/>
      </w:pPr>
      <w:rPr>
        <w:rFonts w:hint="default"/>
        <w:lang w:val="zh-CN" w:eastAsia="zh-CN" w:bidi="zh-CN"/>
      </w:rPr>
    </w:lvl>
    <w:lvl w:ilvl="5">
      <w:start w:val="0"/>
      <w:numFmt w:val="bullet"/>
      <w:lvlText w:val="•"/>
      <w:lvlJc w:val="left"/>
      <w:pPr>
        <w:ind w:left="4803" w:hanging="212"/>
      </w:pPr>
      <w:rPr>
        <w:rFonts w:hint="default"/>
        <w:lang w:val="zh-CN" w:eastAsia="zh-CN" w:bidi="zh-CN"/>
      </w:rPr>
    </w:lvl>
    <w:lvl w:ilvl="6">
      <w:start w:val="0"/>
      <w:numFmt w:val="bullet"/>
      <w:lvlText w:val="•"/>
      <w:lvlJc w:val="left"/>
      <w:pPr>
        <w:ind w:left="5591" w:hanging="212"/>
      </w:pPr>
      <w:rPr>
        <w:rFonts w:hint="default"/>
        <w:lang w:val="zh-CN" w:eastAsia="zh-CN" w:bidi="zh-CN"/>
      </w:rPr>
    </w:lvl>
    <w:lvl w:ilvl="7">
      <w:start w:val="0"/>
      <w:numFmt w:val="bullet"/>
      <w:lvlText w:val="•"/>
      <w:lvlJc w:val="left"/>
      <w:pPr>
        <w:ind w:left="6380" w:hanging="212"/>
      </w:pPr>
      <w:rPr>
        <w:rFonts w:hint="default"/>
        <w:lang w:val="zh-CN" w:eastAsia="zh-CN" w:bidi="zh-CN"/>
      </w:rPr>
    </w:lvl>
    <w:lvl w:ilvl="8">
      <w:start w:val="0"/>
      <w:numFmt w:val="bullet"/>
      <w:lvlText w:val="•"/>
      <w:lvlJc w:val="left"/>
      <w:pPr>
        <w:ind w:left="7168" w:hanging="212"/>
      </w:pPr>
      <w:rPr>
        <w:rFonts w:hint="default"/>
        <w:lang w:val="zh-CN" w:eastAsia="zh-CN" w:bidi="zh-CN"/>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220"/>
    </w:pPr>
    <w:rPr>
      <w:rFonts w:ascii="宋体" w:hAnsi="宋体" w:eastAsia="宋体" w:cs="宋体"/>
      <w:sz w:val="21"/>
      <w:szCs w:val="21"/>
      <w:lang w:val="zh-CN" w:eastAsia="zh-CN" w:bidi="zh-CN"/>
    </w:rPr>
  </w:style>
  <w:style w:styleId="Heading1" w:type="paragraph">
    <w:name w:val="Heading 1"/>
    <w:basedOn w:val="Normal"/>
    <w:uiPriority w:val="1"/>
    <w:qFormat/>
    <w:pPr>
      <w:ind w:left="220"/>
      <w:outlineLvl w:val="1"/>
    </w:pPr>
    <w:rPr>
      <w:rFonts w:ascii="Microsoft JhengHei" w:hAnsi="Microsoft JhengHei" w:eastAsia="Microsoft JhengHei" w:cs="Microsoft JhengHei"/>
      <w:b/>
      <w:bCs/>
      <w:sz w:val="21"/>
      <w:szCs w:val="21"/>
      <w:lang w:val="zh-CN" w:eastAsia="zh-CN" w:bidi="zh-CN"/>
    </w:rPr>
  </w:style>
  <w:style w:styleId="ListParagraph" w:type="paragraph">
    <w:name w:val="List Paragraph"/>
    <w:basedOn w:val="Normal"/>
    <w:uiPriority w:val="1"/>
    <w:qFormat/>
    <w:pPr>
      <w:ind w:left="220"/>
    </w:pPr>
    <w:rPr>
      <w:rFonts w:ascii="宋体" w:hAnsi="宋体" w:eastAsia="宋体" w:cs="宋体"/>
      <w:lang w:val="zh-CN" w:eastAsia="zh-CN" w:bidi="zh-CN"/>
    </w:rPr>
  </w:style>
  <w:style w:styleId="TableParagraph" w:type="paragraph">
    <w:name w:val="Table Paragraph"/>
    <w:basedOn w:val="Normal"/>
    <w:uiPriority w:val="1"/>
    <w:qFormat/>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footer" Target="footer3.xm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ruthou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ruthou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福建163软件园</dc:creator>
  <dc:title>薪酬调查与薪酬定位</dc:title>
  <dcterms:created xsi:type="dcterms:W3CDTF">2019-11-28T05:42:47Z</dcterms:created>
  <dcterms:modified xsi:type="dcterms:W3CDTF">2019-11-28T05:42:47Z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Creator">
    <vt:lpwstr>WPS Office</vt:lpwstr>
  </property>
  <property fmtid="{D5CDD505-2E9C-101B-9397-08002B2CF9AE}" pid="4" name="LastSaved">
    <vt:filetime>2019-11-28T00:00:00Z</vt:filetime>
  </property>
</Properties>
</file>