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8"/>
        <w:ind w:left="0"/>
        <w:rPr>
          <w:rFonts w:hint="eastAsia" w:ascii="宋体" w:hAnsi="宋体" w:eastAsia="宋体" w:cs="宋体"/>
          <w:sz w:val="12"/>
        </w:rPr>
      </w:pPr>
    </w:p>
    <w:p>
      <w:pPr>
        <w:pStyle w:val="2"/>
        <w:spacing w:before="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一、个人所得税“核定征收”的申请条件</w:t>
      </w:r>
    </w:p>
    <w:p>
      <w:pPr>
        <w:pStyle w:val="3"/>
        <w:spacing w:before="264" w:line="290" w:lineRule="auto"/>
        <w:ind w:right="9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根据《关于个人独资企业和合伙企业投资者征收个人所得税的规定》财税[2000]91 号文件：</w:t>
      </w:r>
    </w:p>
    <w:p>
      <w:pPr>
        <w:pStyle w:val="2"/>
        <w:tabs>
          <w:tab w:val="left" w:pos="1251"/>
        </w:tabs>
        <w:spacing w:line="290" w:lineRule="auto"/>
        <w:ind w:right="38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3"/>
        </w:rPr>
        <w:t>第七</w:t>
      </w:r>
      <w:r>
        <w:rPr>
          <w:rFonts w:hint="eastAsia" w:ascii="宋体" w:hAnsi="宋体" w:eastAsia="宋体" w:cs="宋体"/>
        </w:rPr>
        <w:t>条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pacing w:val="3"/>
        </w:rPr>
        <w:t>有下列情形之一的</w:t>
      </w:r>
      <w:r>
        <w:rPr>
          <w:rFonts w:hint="eastAsia" w:ascii="宋体" w:hAnsi="宋体" w:eastAsia="宋体" w:cs="宋体"/>
          <w:i w:val="0"/>
        </w:rPr>
        <w:t>,</w:t>
      </w:r>
      <w:r>
        <w:rPr>
          <w:rFonts w:hint="eastAsia" w:ascii="宋体" w:hAnsi="宋体" w:eastAsia="宋体" w:cs="宋体"/>
          <w:spacing w:val="3"/>
        </w:rPr>
        <w:t>主管税务机关应采取核定征收方式征</w:t>
      </w:r>
      <w:r>
        <w:rPr>
          <w:rFonts w:hint="eastAsia" w:ascii="宋体" w:hAnsi="宋体" w:eastAsia="宋体" w:cs="宋体"/>
        </w:rPr>
        <w:t>收个人所得税：</w:t>
      </w:r>
      <w:bookmarkStart w:id="0" w:name="_GoBack"/>
      <w:bookmarkEnd w:id="0"/>
    </w:p>
    <w:p>
      <w:pPr>
        <w:pStyle w:val="3"/>
        <w:spacing w:line="515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(一) 企业依照国家有关规定应当设置但未设置账簿的；</w:t>
      </w:r>
    </w:p>
    <w:p>
      <w:pPr>
        <w:pStyle w:val="3"/>
        <w:spacing w:before="107" w:line="290" w:lineRule="auto"/>
        <w:ind w:right="37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(二) 企业虽设置账簿,但账目混乱或者成本资料,收入凭证,费用凭证残缺不全,难以查账的；</w:t>
      </w:r>
    </w:p>
    <w:p>
      <w:pPr>
        <w:pStyle w:val="3"/>
        <w:spacing w:line="290" w:lineRule="auto"/>
        <w:ind w:right="94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(三) 纳税人发生纳税义务,未按照规定的期限办理纳税申报,经税务机关责令限期申报,逾期仍不申报的.</w:t>
      </w:r>
    </w:p>
    <w:p>
      <w:pPr>
        <w:pStyle w:val="2"/>
        <w:spacing w:before="15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二、最新个税法的政策支持</w:t>
      </w:r>
    </w:p>
    <w:p>
      <w:pPr>
        <w:pStyle w:val="3"/>
        <w:spacing w:before="26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 2018 最新颁布的《中华人民共和国个人所得税法》中</w:t>
      </w:r>
    </w:p>
    <w:p>
      <w:pPr>
        <w:pStyle w:val="2"/>
        <w:numPr>
          <w:ilvl w:val="0"/>
          <w:numId w:val="1"/>
        </w:numPr>
        <w:tabs>
          <w:tab w:val="left" w:pos="513"/>
        </w:tabs>
        <w:spacing w:before="264" w:after="0" w:line="240" w:lineRule="auto"/>
        <w:ind w:left="512" w:right="0" w:hanging="393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第二条下列各项个人所得，应当缴纳个人所得税：</w:t>
      </w:r>
    </w:p>
    <w:p>
      <w:pPr>
        <w:pStyle w:val="3"/>
        <w:spacing w:before="26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（一）工资、薪金所得；</w:t>
      </w:r>
    </w:p>
    <w:p>
      <w:pPr>
        <w:pStyle w:val="3"/>
        <w:spacing w:before="10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（二）劳务报酬所得；</w:t>
      </w:r>
    </w:p>
    <w:p>
      <w:pPr>
        <w:pStyle w:val="3"/>
        <w:spacing w:before="10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（三）稿酬所得；</w:t>
      </w:r>
    </w:p>
    <w:p>
      <w:pPr>
        <w:pStyle w:val="3"/>
        <w:spacing w:before="10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（四）特许权使用费所得；</w:t>
      </w:r>
    </w:p>
    <w:p>
      <w:pPr>
        <w:spacing w:before="107"/>
        <w:ind w:left="120" w:right="0" w:firstLine="0"/>
        <w:jc w:val="left"/>
        <w:rPr>
          <w:rFonts w:hint="eastAsia" w:ascii="宋体" w:hAnsi="宋体" w:eastAsia="宋体" w:cs="宋体"/>
          <w:b/>
          <w:i/>
          <w:sz w:val="28"/>
        </w:rPr>
      </w:pPr>
      <w:r>
        <w:rPr>
          <w:rFonts w:hint="eastAsia" w:ascii="宋体" w:hAnsi="宋体" w:eastAsia="宋体" w:cs="宋体"/>
          <w:b/>
          <w:i/>
          <w:color w:val="FF0000"/>
          <w:sz w:val="28"/>
        </w:rPr>
        <w:t>（五）经营所得（允许核定征收）；</w:t>
      </w:r>
    </w:p>
    <w:p>
      <w:pPr>
        <w:pStyle w:val="3"/>
        <w:spacing w:before="10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（六）利息、股息、红利所得；</w:t>
      </w:r>
    </w:p>
    <w:p>
      <w:pPr>
        <w:pStyle w:val="3"/>
        <w:spacing w:before="10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（七）财产租赁所得；</w:t>
      </w:r>
    </w:p>
    <w:p>
      <w:pPr>
        <w:spacing w:after="0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type w:val="continuous"/>
          <w:pgSz w:w="11910" w:h="16840"/>
          <w:pgMar w:top="1480" w:right="1420" w:bottom="1460" w:left="1680" w:header="315" w:footer="1273" w:gutter="0"/>
          <w:pgNumType w:start="1"/>
        </w:sectPr>
      </w:pPr>
    </w:p>
    <w:p>
      <w:pPr>
        <w:pStyle w:val="3"/>
        <w:spacing w:before="1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（八）财产转让所得；</w:t>
      </w:r>
    </w:p>
    <w:p>
      <w:pPr>
        <w:pStyle w:val="3"/>
        <w:spacing w:before="10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（九）偶然所得。</w:t>
      </w:r>
    </w:p>
    <w:p>
      <w:pPr>
        <w:pStyle w:val="7"/>
        <w:numPr>
          <w:ilvl w:val="0"/>
          <w:numId w:val="2"/>
        </w:numPr>
        <w:tabs>
          <w:tab w:val="left" w:pos="1001"/>
        </w:tabs>
        <w:spacing w:before="108" w:after="0" w:line="290" w:lineRule="auto"/>
        <w:ind w:left="120" w:right="98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pacing w:val="5"/>
          <w:sz w:val="28"/>
        </w:rPr>
        <w:t>居民个人取得前款第一项至第四项所得（以下称综合所得</w:t>
      </w:r>
      <w:r>
        <w:rPr>
          <w:rFonts w:hint="eastAsia" w:ascii="宋体" w:hAnsi="宋体" w:eastAsia="宋体" w:cs="宋体"/>
          <w:spacing w:val="2"/>
          <w:sz w:val="28"/>
        </w:rPr>
        <w:t xml:space="preserve">）， </w:t>
      </w:r>
      <w:r>
        <w:rPr>
          <w:rFonts w:hint="eastAsia" w:ascii="宋体" w:hAnsi="宋体" w:eastAsia="宋体" w:cs="宋体"/>
          <w:sz w:val="28"/>
        </w:rPr>
        <w:t>按纳税年度合并计算个人所得税；</w:t>
      </w:r>
    </w:p>
    <w:p>
      <w:pPr>
        <w:pStyle w:val="7"/>
        <w:numPr>
          <w:ilvl w:val="0"/>
          <w:numId w:val="2"/>
        </w:numPr>
        <w:tabs>
          <w:tab w:val="left" w:pos="985"/>
        </w:tabs>
        <w:spacing w:before="0" w:after="0" w:line="290" w:lineRule="auto"/>
        <w:ind w:left="120" w:right="819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pacing w:val="-1"/>
          <w:sz w:val="28"/>
        </w:rPr>
        <w:t>非居民个人取得前款第一项至第四项所得，按月或者按次</w:t>
      </w:r>
      <w:r>
        <w:rPr>
          <w:rFonts w:hint="eastAsia" w:ascii="宋体" w:hAnsi="宋体" w:eastAsia="宋体" w:cs="宋体"/>
          <w:sz w:val="28"/>
        </w:rPr>
        <w:t>分项计算个人所得税。</w:t>
      </w:r>
    </w:p>
    <w:p>
      <w:pPr>
        <w:pStyle w:val="7"/>
        <w:numPr>
          <w:ilvl w:val="0"/>
          <w:numId w:val="2"/>
        </w:numPr>
        <w:tabs>
          <w:tab w:val="left" w:pos="985"/>
        </w:tabs>
        <w:spacing w:before="0" w:after="0" w:line="290" w:lineRule="auto"/>
        <w:ind w:left="120" w:right="379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pacing w:val="-9"/>
          <w:sz w:val="28"/>
        </w:rPr>
        <w:t>纳税人取得前款第五项至第九项所得，依照本法规定分别计算</w:t>
      </w:r>
      <w:r>
        <w:rPr>
          <w:rFonts w:hint="eastAsia" w:ascii="宋体" w:hAnsi="宋体" w:eastAsia="宋体" w:cs="宋体"/>
          <w:sz w:val="28"/>
        </w:rPr>
        <w:t>个人所得税。</w:t>
      </w:r>
    </w:p>
    <w:p>
      <w:pPr>
        <w:pStyle w:val="2"/>
        <w:numPr>
          <w:ilvl w:val="0"/>
          <w:numId w:val="1"/>
        </w:numPr>
        <w:tabs>
          <w:tab w:val="left" w:pos="513"/>
        </w:tabs>
        <w:spacing w:before="153" w:after="0" w:line="240" w:lineRule="auto"/>
        <w:ind w:left="512" w:right="0" w:hanging="393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第六条应纳税所得额的计算（查账征收）：</w:t>
      </w:r>
    </w:p>
    <w:p>
      <w:pPr>
        <w:pStyle w:val="3"/>
        <w:spacing w:before="264" w:line="290" w:lineRule="auto"/>
        <w:ind w:right="37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</w:t>
      </w:r>
      <w:r>
        <w:rPr>
          <w:rFonts w:hint="eastAsia" w:ascii="宋体" w:hAnsi="宋体" w:eastAsia="宋体" w:cs="宋体"/>
          <w:spacing w:val="-32"/>
        </w:rPr>
        <w:t>）</w:t>
      </w:r>
      <w:r>
        <w:rPr>
          <w:rFonts w:hint="eastAsia" w:ascii="宋体" w:hAnsi="宋体" w:eastAsia="宋体" w:cs="宋体"/>
          <w:spacing w:val="-9"/>
        </w:rPr>
        <w:t>经营所得，以每一纳税年度的收入总额减除成本、费用以及损</w:t>
      </w:r>
      <w:r>
        <w:rPr>
          <w:rFonts w:hint="eastAsia" w:ascii="宋体" w:hAnsi="宋体" w:eastAsia="宋体" w:cs="宋体"/>
        </w:rPr>
        <w:t>失后的余额，为应纳税所得额。</w:t>
      </w:r>
    </w:p>
    <w:p>
      <w:pPr>
        <w:pStyle w:val="2"/>
        <w:spacing w:before="15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 个人独资企业的“个人所得税税率”及“核定应税所得率“</w:t>
      </w:r>
    </w:p>
    <w:p>
      <w:pPr>
        <w:pStyle w:val="3"/>
        <w:spacing w:before="264" w:line="290" w:lineRule="auto"/>
        <w:ind w:right="37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1155065</wp:posOffset>
            </wp:positionH>
            <wp:positionV relativeFrom="paragraph">
              <wp:posOffset>986790</wp:posOffset>
            </wp:positionV>
            <wp:extent cx="4835525" cy="2640965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835" cy="2640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333333"/>
        </w:rPr>
        <w:t>（1）经营所得个人所得税税率：适用百分之五至百分之三十五的超额累进税率（税率表见下图）</w:t>
      </w:r>
    </w:p>
    <w:p>
      <w:pPr>
        <w:spacing w:after="0" w:line="290" w:lineRule="auto"/>
        <w:rPr>
          <w:rFonts w:hint="eastAsia" w:ascii="宋体" w:hAnsi="宋体" w:eastAsia="宋体" w:cs="宋体"/>
        </w:rPr>
        <w:sectPr>
          <w:pgSz w:w="11910" w:h="16840"/>
          <w:pgMar w:top="1480" w:right="1420" w:bottom="1460" w:left="1680" w:header="315" w:footer="1273" w:gutter="0"/>
        </w:sectPr>
      </w:pPr>
    </w:p>
    <w:p>
      <w:pPr>
        <w:spacing w:before="16" w:line="290" w:lineRule="auto"/>
        <w:ind w:left="120" w:right="379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(2) 个人独资企业所谓核定，其中一项即为</w:t>
      </w:r>
      <w:r>
        <w:rPr>
          <w:rFonts w:hint="eastAsia" w:ascii="宋体" w:hAnsi="宋体" w:eastAsia="宋体" w:cs="宋体"/>
          <w:b/>
          <w:i/>
          <w:sz w:val="28"/>
        </w:rPr>
        <w:t>核定应税所得率</w:t>
      </w:r>
      <w:r>
        <w:rPr>
          <w:rFonts w:hint="eastAsia" w:ascii="宋体" w:hAnsi="宋体" w:eastAsia="宋体" w:cs="宋体"/>
          <w:sz w:val="28"/>
        </w:rPr>
        <w:t>，目前多数税收洼地对虚拟注册的”现代服务业”</w:t>
      </w:r>
      <w:r>
        <w:rPr>
          <w:rFonts w:hint="eastAsia" w:ascii="宋体" w:hAnsi="宋体" w:eastAsia="宋体" w:cs="宋体"/>
          <w:b/>
          <w:i/>
          <w:sz w:val="28"/>
        </w:rPr>
        <w:t>应税所得率取值</w:t>
      </w:r>
      <w:r>
        <w:rPr>
          <w:rFonts w:hint="eastAsia" w:ascii="宋体" w:hAnsi="宋体" w:eastAsia="宋体" w:cs="宋体"/>
          <w:sz w:val="28"/>
        </w:rPr>
        <w:t>为 10%</w:t>
      </w:r>
    </w:p>
    <w:p>
      <w:pPr>
        <w:pStyle w:val="3"/>
        <w:spacing w:before="2"/>
        <w:ind w:left="0"/>
        <w:rPr>
          <w:rFonts w:hint="eastAsia" w:ascii="宋体" w:hAnsi="宋体" w:eastAsia="宋体" w:cs="宋体"/>
          <w:sz w:val="9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1162050</wp:posOffset>
            </wp:positionH>
            <wp:positionV relativeFrom="paragraph">
              <wp:posOffset>131445</wp:posOffset>
            </wp:positionV>
            <wp:extent cx="4909820" cy="2221865"/>
            <wp:effectExtent l="0" t="0" r="0" b="0"/>
            <wp:wrapTopAndBottom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9565" cy="2221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20"/>
        <w:ind w:left="120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实行“</w:t>
      </w:r>
      <w:r>
        <w:rPr>
          <w:rFonts w:hint="eastAsia" w:ascii="宋体" w:hAnsi="宋体" w:eastAsia="宋体" w:cs="宋体"/>
          <w:b/>
          <w:i/>
          <w:color w:val="FF0000"/>
          <w:sz w:val="28"/>
        </w:rPr>
        <w:t>核定应税所得率征收方式</w:t>
      </w:r>
      <w:r>
        <w:rPr>
          <w:rFonts w:hint="eastAsia" w:ascii="宋体" w:hAnsi="宋体" w:eastAsia="宋体" w:cs="宋体"/>
          <w:sz w:val="28"/>
        </w:rPr>
        <w:t>“，应纳所得税额的计算公式如下：</w:t>
      </w:r>
    </w:p>
    <w:p>
      <w:pPr>
        <w:spacing w:before="108"/>
        <w:ind w:left="120" w:right="0" w:firstLine="0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u w:val="single"/>
        </w:rPr>
        <w:t>1、</w:t>
      </w:r>
      <w:r>
        <w:rPr>
          <w:rFonts w:hint="eastAsia" w:ascii="宋体" w:hAnsi="宋体" w:eastAsia="宋体" w:cs="宋体"/>
          <w:b/>
          <w:i/>
          <w:sz w:val="28"/>
          <w:u w:val="single"/>
        </w:rPr>
        <w:t>应纳税所得额</w:t>
      </w:r>
      <w:r>
        <w:rPr>
          <w:rFonts w:hint="eastAsia" w:ascii="宋体" w:hAnsi="宋体" w:eastAsia="宋体" w:cs="宋体"/>
          <w:sz w:val="28"/>
          <w:u w:val="single"/>
        </w:rPr>
        <w:t>=收入总额×应税所得率</w:t>
      </w:r>
    </w:p>
    <w:p>
      <w:pPr>
        <w:pStyle w:val="3"/>
        <w:spacing w:before="108" w:line="290" w:lineRule="auto"/>
        <w:ind w:right="22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u w:val="single"/>
        </w:rPr>
        <w:t>或=成本费用支出额÷(1 一应税所得率)X 应税所得率2、</w:t>
      </w:r>
      <w:r>
        <w:rPr>
          <w:rFonts w:hint="eastAsia" w:ascii="宋体" w:hAnsi="宋体" w:eastAsia="宋体" w:cs="宋体"/>
          <w:b/>
          <w:i/>
          <w:u w:val="single"/>
        </w:rPr>
        <w:t>应纳所得税额</w:t>
      </w:r>
      <w:r>
        <w:rPr>
          <w:rFonts w:hint="eastAsia" w:ascii="宋体" w:hAnsi="宋体" w:eastAsia="宋体" w:cs="宋体"/>
          <w:u w:val="single"/>
        </w:rPr>
        <w:t>=应纳税所得额×适用税率</w:t>
      </w:r>
    </w:p>
    <w:sectPr>
      <w:pgSz w:w="11910" w:h="16840"/>
      <w:pgMar w:top="1480" w:right="1420" w:bottom="1460" w:left="1680" w:header="315" w:footer="127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implified Arabic">
    <w:panose1 w:val="02020603050405020304"/>
    <w:charset w:val="00"/>
    <w:family w:val="roman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pict>
        <v:shape id="_x0000_s2053" o:spid="_x0000_s2053" o:spt="202" type="#_x0000_t202" style="position:absolute;left:0pt;margin-left:293.25pt;margin-top:767.25pt;height:11.4pt;width:8.75pt;mso-position-horizontal-relative:page;mso-position-vertical-relative:page;z-index:-2517463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28" w:lineRule="exact"/>
                  <w:ind w:left="40" w:right="0" w:firstLine="0"/>
                  <w:jc w:val="left"/>
                  <w:rPr>
                    <w:rFonts w:ascii="Simplified Arabic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Simplified Arabic"/>
                    <w:w w:val="10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20" w:hanging="881"/>
        <w:jc w:val="left"/>
      </w:pPr>
      <w:rPr>
        <w:rFonts w:hint="default" w:ascii="微软雅黑" w:hAnsi="微软雅黑" w:eastAsia="微软雅黑" w:cs="微软雅黑"/>
        <w:spacing w:val="-15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988" w:hanging="88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57" w:hanging="88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25" w:hanging="88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94" w:hanging="88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63" w:hanging="88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31" w:hanging="88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00" w:hanging="88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8" w:hanging="881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512" w:hanging="393"/>
        <w:jc w:val="left"/>
      </w:pPr>
      <w:rPr>
        <w:rFonts w:hint="default" w:ascii="微软雅黑" w:hAnsi="微软雅黑" w:eastAsia="微软雅黑" w:cs="微软雅黑"/>
        <w:b/>
        <w:bCs/>
        <w:spacing w:val="-27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48" w:hanging="39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77" w:hanging="39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05" w:hanging="39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34" w:hanging="39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63" w:hanging="39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91" w:hanging="39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0" w:hanging="39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48" w:hanging="393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39CD2060"/>
    <w:rsid w:val="7A027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微软雅黑" w:hAnsi="微软雅黑" w:eastAsia="微软雅黑" w:cs="微软雅黑"/>
      <w:b/>
      <w:bCs/>
      <w:i/>
      <w:sz w:val="28"/>
      <w:szCs w:val="28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rFonts w:ascii="微软雅黑" w:hAnsi="微软雅黑" w:eastAsia="微软雅黑" w:cs="微软雅黑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20"/>
    </w:pPr>
    <w:rPr>
      <w:rFonts w:ascii="微软雅黑" w:hAnsi="微软雅黑" w:eastAsia="微软雅黑" w:cs="微软雅黑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2019-11-20T09:13:00Z</dcterms:created>
  <dc:creator>Master</dc:creator>
  <cp:lastModifiedBy>^O^珏</cp:lastModifiedBy>
  <dcterms:modified xsi:type="dcterms:W3CDTF">2019-11-20T09:21:01Z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2019-11-20T00:00:00Z</vt:filetime>
  </property>
  <property fmtid="{D5CDD505-2E9C-101B-9397-08002B2CF9AE}" pid="5" name="KSOProductBuildVer">
    <vt:lpwstr>2052-11.1.0.9175</vt:lpwstr>
  </property>
</Properties>
</file>