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val="0"/>
          <w:bCs w:val="0"/>
          <w:sz w:val="28"/>
          <w:szCs w:val="28"/>
        </w:rPr>
      </w:pPr>
      <w:bookmarkStart w:id="0" w:name="_GoBack"/>
      <w:bookmarkEnd w:id="0"/>
    </w:p>
    <w:p>
      <w:pPr>
        <w:rPr>
          <w:rFonts w:hint="eastAsia" w:ascii="宋体" w:hAnsi="宋体" w:eastAsia="宋体" w:cs="宋体"/>
          <w:b w:val="0"/>
          <w:bCs w:val="0"/>
          <w:sz w:val="28"/>
          <w:szCs w:val="28"/>
        </w:rPr>
      </w:pPr>
      <w:r>
        <w:rPr>
          <w:rFonts w:hint="eastAsia" w:ascii="宋体" w:hAnsi="宋体" w:eastAsia="宋体" w:cs="宋体"/>
          <w:b w:val="0"/>
          <w:bCs w:val="0"/>
          <w:sz w:val="28"/>
          <w:szCs w:val="28"/>
        </w:rPr>
        <w:t>员工离职后保密及竞业禁止协议书</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甲方:</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法定代表人: </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乙方:</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身份证件号码:</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户口所在地: </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现居住地址: </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鉴于乙方在甲方单位履行职务，已经知悉甲方的商业秘密或者对甲方的竞争优势具有重要的影响，</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为维护双方的合法权益，甲、乙双方本着平等、资源、公平和诚实信用的原则，订立本协议。双方确认在签署本协议前已经详细审阅过协议的内容，并完全了解协议各条款的法律含义。</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保密的内容和范围</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甲、乙双方确认，乙方应承担保密义务的甲方商业秘密范围包括业务、</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技术及客户信息。</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一、保密及竞业禁止条款</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1、乙方离职后包含保密信息的载体必须全数交还甲方。</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2、乙方离职后一年内不得到与甲方有竞争关系的单位就职。这些单位包括但不限于同行业与本公</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司有直接竞争关系且本公司认为已经成为或者可能成为竞争对手的同类企业；</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3、不论因何种原因从甲方离职，离职后一年内都不得自办或以他人名义创办与甲方有直接竞争关系的企业或者实际参与与甲方商业秘密有关的业务的经营。</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所谓与甲方有竞争关系的企业，主要指经营与甲方同类业务的企业；</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4、乙方在离职后不得抢夺甲方客户；</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5、不得散布不利于甲方的言论，不得引诱其他甲方雇员离职；</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三、违约责任</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甲、乙双方约定因乙方的违约行为侵犯了甲方的合法权益，甲方可以根据本协议要求乙方承担违约责任或侵权责任。</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四、争议的解决办法</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因执行本协议而发生纠纷，可以由双方协商解决。协商、调解不成或者一方不愿意协商、调解的，应向法院提起诉讼解决。</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五、协议的效力和变更</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本协议自双方签字盖章后生效。本协议的任何修改必须经过双方的书面同意。</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本协议一式贰份，甲乙双方各执一份，具有同等法律效力。</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甲方（盖章）：</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乙方（签字）：</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法定代表人（盖章）：</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签约日期：</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签约日期：</w:t>
      </w:r>
    </w:p>
    <w:p>
      <w:pPr>
        <w:rPr>
          <w:rFonts w:hint="eastAsia" w:ascii="宋体" w:hAnsi="宋体" w:eastAsia="宋体" w:cs="宋体"/>
          <w:b w:val="0"/>
          <w:bCs w:val="0"/>
          <w:sz w:val="28"/>
          <w:szCs w:val="28"/>
          <w:lang w:eastAsia="zh-CN"/>
        </w:rPr>
      </w:pPr>
    </w:p>
    <w:sectPr>
      <w:headerReference r:id="rId3" w:type="default"/>
      <w:footerReference r:id="rId4" w:type="default"/>
      <w:pgSz w:w="11906" w:h="16838"/>
      <w:pgMar w:top="1440" w:right="1800" w:bottom="1440" w:left="1800"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5"/>
        <w:rFonts w:ascii="宋体" w:hAnsi="宋体" w:eastAsia="宋体" w:cs="宋体"/>
        <w:sz w:val="24"/>
        <w:szCs w:val="24"/>
      </w:rPr>
      <w:t>https://www.rsxq.com/</w:t>
    </w:r>
    <w:r>
      <w:rPr>
        <w:rFonts w:ascii="宋体" w:hAnsi="宋体" w:eastAsia="宋体" w:cs="宋体"/>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963E4"/>
    <w:rsid w:val="139C6D23"/>
    <w:rsid w:val="170674C1"/>
    <w:rsid w:val="2C7963E4"/>
    <w:rsid w:val="640D2C39"/>
    <w:rsid w:val="6C8977CC"/>
    <w:rsid w:val="76E02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12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2019-08-08T05:59:00Z</dcterms:created>
  <dc:creator>^O^珏</dc:creator>
  <cp:lastModifiedBy>^O^珏</cp:lastModifiedBy>
  <dcterms:modified xsi:type="dcterms:W3CDTF">2019-08-08T06:09:10Z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