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362700" cy="2343150"/>
            <wp:effectExtent l="0" t="0" r="0" b="0"/>
            <wp:docPr id="2" name="图片 1" descr="5d897f05d1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d897f05d126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7"/>
          <w:szCs w:val="27"/>
          <w:shd w:val="clear" w:fill="FFFFFF"/>
        </w:rPr>
        <w:t>公积金（2019年7月-2020年6月使用数据）如遇调整另行通知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372225" cy="866775"/>
            <wp:effectExtent l="0" t="0" r="9525" b="9525"/>
            <wp:docPr id="3" name="图片 2" descr="5d897f17bf2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d897f17bf22c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8002F80"/>
    <w:rsid w:val="1A7B16E5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B27220"/>
    <w:rsid w:val="3F170F57"/>
    <w:rsid w:val="3F700089"/>
    <w:rsid w:val="44C93E1B"/>
    <w:rsid w:val="47E860E5"/>
    <w:rsid w:val="4CAB7331"/>
    <w:rsid w:val="4CB917FE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3DC4FF5"/>
    <w:rsid w:val="67003B3F"/>
    <w:rsid w:val="68327DA9"/>
    <w:rsid w:val="6A3522D6"/>
    <w:rsid w:val="6B4F6B84"/>
    <w:rsid w:val="6D535020"/>
    <w:rsid w:val="72E7319D"/>
    <w:rsid w:val="75377201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7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2019-11-15T03:09:31Z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