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</w:rPr>
      </w:pPr>
      <w:bookmarkStart w:id="0" w:name="_GoBack"/>
      <w:r>
        <w:rPr>
          <w:rFonts w:hint="eastAsia" w:ascii="宋体" w:hAnsi="宋体" w:eastAsia="宋体" w:cs="宋体"/>
        </w:rPr>
        <w:t>北京个人所得税查询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在受理范围当中，值得注意的是：申请对纳税人涉税保密信息进行的查询应在职责范围内予以支持。申请条件包括：纳税人向主管税务机关进行申请查询。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北京个人所得税查询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一、具体流程：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(一) 业务 (政策)依据 国家税务总局关于印发《纳税人涉税保密信息管理暂行办法》的通知 国税发〔2008〕93号 北京市地方税务局转发国家税务总局关于印发《纳税人涉税保密信息管理暂行办法》的通知 京地税纳〔2009〕82号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(二)纳税人所需携带的表单及资料：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1.填写好的《纳税人、扣缴义务人涉税保密信息查询申请表》一式两份(下文简称为申请表)。注：申请表为A3竖式;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.查询人本人有效身份证件原件及留存复印件。注：查询人应为企业的法定代表人或财务负责人，纳税人授权其他人员代为查询的，需提交纳税人本人(既法人或财务)亲笔签字的委托授权书和代理人的有效身份证件原件及复印件;查询人为抵押权人或质权人的，还需提供合法有效的抵押合同或质押合同的原件及复印件。委托授权书与身份证复印件均为A4纸，委托授权书需加盖公章，所有复印件注明“与原件完全一致”字样并加盖公章;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二、受理范围：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税务机关对下列单位和个人依照法律、法规规定，申请对纳税人涉税保密信息进行的查询应在职责范围内予以支持。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具体包括：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(一)人民法院、人民检察院和公安机关根据法律规定进行的办案查询;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(二)纳税人对自身涉税信息的查询;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(三)抵押权人、质权人请求税务机关提供纳税人欠税有关情况的查询。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三、申请条件：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纳税人向主管税务机关进行申请查询。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四、注意事项：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在进入科技园所网页下载专区中下载《纳税人、扣缴义务人涉税保密信息查询申请表》文件应用A3纸张打印，一式两份。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EE0397"/>
    <w:rsid w:val="222B445D"/>
    <w:rsid w:val="412F7773"/>
    <w:rsid w:val="452D4A97"/>
    <w:rsid w:val="74E94CD5"/>
    <w:rsid w:val="7A86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^O^珏</cp:lastModifiedBy>
  <dcterms:modified xsi:type="dcterms:W3CDTF">2019-10-19T09:16:35Z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